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D0CEA">
      <w:pPr>
        <w:keepNext w:val="0"/>
        <w:keepLines w:val="0"/>
        <w:pageBreakBefore w:val="0"/>
        <w:kinsoku/>
        <w:wordWrap/>
        <w:topLinePunct w:val="0"/>
        <w:autoSpaceDE/>
        <w:autoSpaceDN/>
        <w:bidi w:val="0"/>
        <w:spacing w:after="0" w:line="500" w:lineRule="exac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附件13</w:t>
      </w:r>
    </w:p>
    <w:p w14:paraId="7EDFF336">
      <w:pPr>
        <w:keepNext w:val="0"/>
        <w:keepLines w:val="0"/>
        <w:pageBreakBefore w:val="0"/>
        <w:kinsoku/>
        <w:wordWrap/>
        <w:topLinePunct w:val="0"/>
        <w:autoSpaceDE/>
        <w:autoSpaceDN/>
        <w:bidi w:val="0"/>
        <w:adjustRightInd w:val="0"/>
        <w:snapToGrid w:val="0"/>
        <w:spacing w:after="0" w:line="500" w:lineRule="exact"/>
        <w:contextualSpacing/>
        <w:jc w:val="center"/>
        <w:outlineLvl w:val="0"/>
        <w:rPr>
          <w:rFonts w:hint="eastAsia" w:ascii="方正小标宋简体" w:hAnsi="方正小标宋简体" w:eastAsia="方正小标宋简体" w:cs="方正小标宋简体"/>
          <w:color w:val="auto"/>
          <w:sz w:val="44"/>
          <w:szCs w:val="44"/>
          <w:lang w:val="en-US" w:eastAsia="zh-CN"/>
        </w:rPr>
      </w:pPr>
      <w:bookmarkStart w:id="0" w:name="_Toc685919231"/>
    </w:p>
    <w:p w14:paraId="1BC85B2F">
      <w:pPr>
        <w:keepNext w:val="0"/>
        <w:keepLines w:val="0"/>
        <w:pageBreakBefore w:val="0"/>
        <w:kinsoku/>
        <w:wordWrap/>
        <w:topLinePunct w:val="0"/>
        <w:autoSpaceDE/>
        <w:autoSpaceDN/>
        <w:bidi w:val="0"/>
        <w:adjustRightInd w:val="0"/>
        <w:snapToGrid w:val="0"/>
        <w:spacing w:after="0" w:line="500" w:lineRule="exact"/>
        <w:contextualSpacing/>
        <w:jc w:val="center"/>
        <w:outlineLvl w:val="0"/>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支持企业开展产业并购重组申报指南</w:t>
      </w:r>
      <w:bookmarkEnd w:id="0"/>
    </w:p>
    <w:p w14:paraId="0BB084E7">
      <w:pPr>
        <w:keepNext w:val="0"/>
        <w:keepLines w:val="0"/>
        <w:pageBreakBefore w:val="0"/>
        <w:widowControl/>
        <w:numPr>
          <w:ilvl w:val="0"/>
          <w:numId w:val="0"/>
        </w:numPr>
        <w:kinsoku/>
        <w:wordWrap/>
        <w:overflowPunct/>
        <w:topLinePunct w:val="0"/>
        <w:autoSpaceDE/>
        <w:autoSpaceDN/>
        <w:bidi w:val="0"/>
        <w:adjustRightInd/>
        <w:snapToGrid/>
        <w:spacing w:after="0" w:line="500" w:lineRule="exact"/>
        <w:ind w:firstLine="720" w:firstLineChars="200"/>
        <w:jc w:val="left"/>
        <w:textAlignment w:val="auto"/>
        <w:outlineLvl w:val="9"/>
        <w:rPr>
          <w:rFonts w:hint="eastAsia" w:ascii="仿宋_GB2312" w:hAnsi="仿宋_GB2312" w:eastAsia="仿宋_GB2312" w:cs="仿宋_GB2312"/>
          <w:i w:val="0"/>
          <w:iCs w:val="0"/>
          <w:caps w:val="0"/>
          <w:color w:val="auto"/>
          <w:spacing w:val="0"/>
          <w:sz w:val="36"/>
          <w:szCs w:val="36"/>
          <w:highlight w:val="none"/>
          <w:shd w:val="clear" w:color="auto" w:fill="auto"/>
        </w:rPr>
      </w:pPr>
    </w:p>
    <w:p w14:paraId="4C7CF958">
      <w:pPr>
        <w:keepNext w:val="0"/>
        <w:keepLines w:val="0"/>
        <w:pageBreakBefore w:val="0"/>
        <w:widowControl/>
        <w:numPr>
          <w:ilvl w:val="0"/>
          <w:numId w:val="0"/>
        </w:numPr>
        <w:kinsoku/>
        <w:wordWrap/>
        <w:overflowPunct/>
        <w:topLinePunct w:val="0"/>
        <w:autoSpaceDE/>
        <w:autoSpaceDN/>
        <w:bidi w:val="0"/>
        <w:adjustRightInd/>
        <w:snapToGrid/>
        <w:spacing w:after="0" w:line="500" w:lineRule="exact"/>
        <w:ind w:firstLine="720" w:firstLineChars="200"/>
        <w:jc w:val="left"/>
        <w:textAlignment w:val="auto"/>
        <w:outlineLvl w:val="9"/>
        <w:rPr>
          <w:rFonts w:hint="default" w:ascii="仿宋_GB2312" w:hAnsi="仿宋_GB2312" w:eastAsia="仿宋_GB2312" w:cs="仿宋_GB2312"/>
          <w:i w:val="0"/>
          <w:iCs w:val="0"/>
          <w:caps w:val="0"/>
          <w:color w:val="auto"/>
          <w:spacing w:val="0"/>
          <w:sz w:val="36"/>
          <w:szCs w:val="36"/>
          <w:highlight w:val="none"/>
          <w:lang w:val="en-US" w:eastAsia="zh-CN"/>
        </w:rPr>
      </w:pPr>
      <w:r>
        <w:rPr>
          <w:rFonts w:hint="eastAsia" w:ascii="仿宋_GB2312" w:hAnsi="仿宋_GB2312" w:eastAsia="仿宋_GB2312" w:cs="仿宋_GB2312"/>
          <w:i w:val="0"/>
          <w:iCs w:val="0"/>
          <w:caps w:val="0"/>
          <w:color w:val="auto"/>
          <w:spacing w:val="0"/>
          <w:sz w:val="36"/>
          <w:szCs w:val="36"/>
          <w:highlight w:val="none"/>
          <w:shd w:val="clear" w:color="auto" w:fill="auto"/>
        </w:rPr>
        <w:t>鼓励</w:t>
      </w:r>
      <w:r>
        <w:rPr>
          <w:rFonts w:hint="eastAsia" w:ascii="仿宋_GB2312" w:hAnsi="仿宋_GB2312" w:eastAsia="仿宋_GB2312" w:cs="仿宋_GB2312"/>
          <w:i w:val="0"/>
          <w:iCs w:val="0"/>
          <w:caps w:val="0"/>
          <w:color w:val="auto"/>
          <w:spacing w:val="0"/>
          <w:sz w:val="36"/>
          <w:szCs w:val="36"/>
          <w:highlight w:val="none"/>
          <w:shd w:val="clear" w:color="auto" w:fill="auto"/>
          <w:lang w:val="en-US" w:eastAsia="zh-CN"/>
        </w:rPr>
        <w:t>企业</w:t>
      </w:r>
      <w:r>
        <w:rPr>
          <w:rFonts w:hint="eastAsia" w:ascii="仿宋_GB2312" w:hAnsi="仿宋_GB2312" w:eastAsia="仿宋_GB2312" w:cs="仿宋_GB2312"/>
          <w:i w:val="0"/>
          <w:iCs w:val="0"/>
          <w:caps w:val="0"/>
          <w:color w:val="auto"/>
          <w:spacing w:val="0"/>
          <w:sz w:val="36"/>
          <w:szCs w:val="36"/>
          <w:highlight w:val="none"/>
          <w:shd w:val="clear" w:color="auto" w:fill="auto"/>
        </w:rPr>
        <w:t>立足</w:t>
      </w:r>
      <w:r>
        <w:rPr>
          <w:rFonts w:hint="eastAsia" w:ascii="仿宋_GB2312" w:hAnsi="仿宋_GB2312" w:eastAsia="仿宋_GB2312" w:cs="仿宋_GB2312"/>
          <w:i w:val="0"/>
          <w:iCs w:val="0"/>
          <w:caps w:val="0"/>
          <w:color w:val="auto"/>
          <w:spacing w:val="0"/>
          <w:sz w:val="36"/>
          <w:szCs w:val="36"/>
          <w:highlight w:val="none"/>
          <w:shd w:val="clear" w:color="auto" w:fill="auto"/>
          <w:lang w:val="en-US" w:eastAsia="zh-CN"/>
        </w:rPr>
        <w:t>科学仪器和传感器产业</w:t>
      </w:r>
      <w:r>
        <w:rPr>
          <w:rFonts w:hint="eastAsia" w:ascii="仿宋_GB2312" w:hAnsi="仿宋_GB2312" w:eastAsia="仿宋_GB2312" w:cs="仿宋_GB2312"/>
          <w:i w:val="0"/>
          <w:iCs w:val="0"/>
          <w:caps w:val="0"/>
          <w:color w:val="auto"/>
          <w:spacing w:val="0"/>
          <w:sz w:val="36"/>
          <w:szCs w:val="36"/>
          <w:highlight w:val="none"/>
          <w:shd w:val="clear" w:color="auto" w:fill="auto"/>
        </w:rPr>
        <w:t>，</w:t>
      </w:r>
      <w:r>
        <w:rPr>
          <w:rFonts w:hint="eastAsia" w:ascii="仿宋_GB2312" w:hAnsi="仿宋_GB2312" w:eastAsia="仿宋_GB2312" w:cs="仿宋_GB2312"/>
          <w:i w:val="0"/>
          <w:iCs w:val="0"/>
          <w:caps w:val="0"/>
          <w:color w:val="auto"/>
          <w:spacing w:val="0"/>
          <w:kern w:val="2"/>
          <w:sz w:val="36"/>
          <w:szCs w:val="36"/>
          <w:highlight w:val="none"/>
          <w:shd w:val="clear" w:color="auto" w:fill="auto"/>
          <w:lang w:val="en-US" w:eastAsia="zh-CN" w:bidi="ar"/>
        </w:rPr>
        <w:t>开展同行业、上下游并购和吸收合并</w:t>
      </w:r>
      <w:r>
        <w:rPr>
          <w:rFonts w:hint="eastAsia" w:ascii="仿宋_GB2312" w:hAnsi="仿宋_GB2312" w:eastAsia="仿宋_GB2312" w:cs="仿宋_GB2312"/>
          <w:i w:val="0"/>
          <w:iCs w:val="0"/>
          <w:caps w:val="0"/>
          <w:color w:val="auto"/>
          <w:spacing w:val="0"/>
          <w:sz w:val="36"/>
          <w:szCs w:val="36"/>
          <w:highlight w:val="none"/>
          <w:shd w:val="clear" w:color="auto" w:fill="auto"/>
          <w:lang w:eastAsia="zh-CN"/>
        </w:rPr>
        <w:t>，</w:t>
      </w:r>
      <w:r>
        <w:rPr>
          <w:rFonts w:hint="eastAsia" w:ascii="仿宋_GB2312" w:hAnsi="仿宋_GB2312" w:eastAsia="仿宋_GB2312" w:cs="仿宋_GB2312"/>
          <w:i w:val="0"/>
          <w:iCs w:val="0"/>
          <w:caps w:val="0"/>
          <w:color w:val="auto"/>
          <w:spacing w:val="0"/>
          <w:sz w:val="36"/>
          <w:szCs w:val="36"/>
          <w:highlight w:val="none"/>
          <w:shd w:val="clear" w:color="auto" w:fill="auto"/>
        </w:rPr>
        <w:t>加大对产业链相关企业的资源整合力度。</w:t>
      </w:r>
    </w:p>
    <w:p w14:paraId="42E719A8">
      <w:pPr>
        <w:keepNext w:val="0"/>
        <w:keepLines w:val="0"/>
        <w:pageBreakBefore w:val="0"/>
        <w:kinsoku/>
        <w:wordWrap/>
        <w:overflowPunct w:val="0"/>
        <w:topLinePunct w:val="0"/>
        <w:autoSpaceDE/>
        <w:autoSpaceDN/>
        <w:bidi w:val="0"/>
        <w:adjustRightInd w:val="0"/>
        <w:snapToGrid w:val="0"/>
        <w:spacing w:after="0" w:line="50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1" w:name="_Toc552298321"/>
      <w:r>
        <w:rPr>
          <w:rFonts w:hint="eastAsia" w:ascii="黑体" w:hAnsi="黑体" w:eastAsia="黑体" w:cs="黑体"/>
          <w:color w:val="auto"/>
          <w:kern w:val="2"/>
          <w:sz w:val="36"/>
          <w:szCs w:val="36"/>
          <w:lang w:val="en-US" w:eastAsia="zh-CN" w:bidi="ar-SA"/>
        </w:rPr>
        <w:t>一、支持对象</w:t>
      </w:r>
      <w:bookmarkEnd w:id="1"/>
    </w:p>
    <w:p w14:paraId="6A9A76B0">
      <w:pPr>
        <w:keepNext w:val="0"/>
        <w:keepLines w:val="0"/>
        <w:pageBreakBefore w:val="0"/>
        <w:kinsoku/>
        <w:wordWrap/>
        <w:overflowPunct w:val="0"/>
        <w:topLinePunct w:val="0"/>
        <w:autoSpaceDE/>
        <w:autoSpaceDN/>
        <w:bidi w:val="0"/>
        <w:adjustRightInd w:val="0"/>
        <w:snapToGrid w:val="0"/>
        <w:spacing w:after="0" w:line="500" w:lineRule="exact"/>
        <w:ind w:firstLine="720" w:firstLineChars="200"/>
        <w:contextualSpacing/>
        <w:jc w:val="left"/>
        <w:rPr>
          <w:rFonts w:hint="eastAsia" w:ascii="仿宋_GB2312" w:hAnsi="Times New Roman" w:eastAsia="仿宋_GB2312" w:cs="仿宋_GB2312"/>
          <w:bCs/>
          <w:color w:val="auto"/>
          <w:spacing w:val="-6"/>
          <w:kern w:val="2"/>
          <w:sz w:val="36"/>
          <w:szCs w:val="36"/>
          <w:shd w:val="clear" w:color="auto" w:fill="FFFFFF"/>
          <w:lang w:val="en-US" w:eastAsia="zh-CN" w:bidi="ar"/>
        </w:rPr>
      </w:pPr>
      <w:r>
        <w:rPr>
          <w:rFonts w:hint="eastAsia" w:ascii="Times New Roman" w:hAnsi="Times New Roman" w:eastAsia="仿宋_GB2312" w:cs="Times New Roman"/>
          <w:color w:val="auto"/>
          <w:sz w:val="36"/>
          <w:szCs w:val="36"/>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的企业。</w:t>
      </w:r>
    </w:p>
    <w:p w14:paraId="17FA06DF">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720" w:firstLineChars="200"/>
        <w:jc w:val="left"/>
        <w:textAlignment w:val="auto"/>
        <w:outlineLvl w:val="0"/>
        <w:rPr>
          <w:rFonts w:hint="eastAsia" w:ascii="仿宋_GB2312" w:hAnsi="仿宋_GB2312" w:eastAsia="仿宋_GB2312" w:cs="仿宋_GB2312"/>
          <w:color w:val="auto"/>
          <w:sz w:val="36"/>
          <w:szCs w:val="36"/>
          <w:highlight w:val="none"/>
          <w:lang w:val="en-US" w:eastAsia="zh-CN"/>
        </w:rPr>
      </w:pPr>
      <w:bookmarkStart w:id="2" w:name="_Toc1053558713"/>
      <w:r>
        <w:rPr>
          <w:rFonts w:hint="eastAsia" w:ascii="黑体" w:hAnsi="黑体" w:eastAsia="黑体" w:cs="黑体"/>
          <w:color w:val="auto"/>
          <w:kern w:val="2"/>
          <w:sz w:val="36"/>
          <w:szCs w:val="36"/>
          <w:lang w:val="en-US" w:eastAsia="zh-CN" w:bidi="ar-SA"/>
        </w:rPr>
        <w:t>二、申报条件</w:t>
      </w:r>
      <w:bookmarkEnd w:id="2"/>
    </w:p>
    <w:p w14:paraId="49C05205">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720" w:firstLineChars="200"/>
        <w:jc w:val="left"/>
        <w:textAlignment w:val="auto"/>
        <w:outlineLvl w:val="9"/>
        <w:rPr>
          <w:rFonts w:hint="eastAsia" w:ascii="仿宋_GB2312" w:hAnsi="黑体" w:eastAsia="仿宋_GB2312" w:cs="Times New Roman"/>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申报项目须同时满足以下条件：</w:t>
      </w:r>
    </w:p>
    <w:p w14:paraId="1B1F344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720" w:firstLineChars="200"/>
        <w:jc w:val="left"/>
        <w:textAlignment w:val="auto"/>
        <w:outlineLvl w:val="9"/>
        <w:rPr>
          <w:rFonts w:hint="eastAsia" w:ascii="仿宋_GB2312" w:hAnsi="黑体" w:eastAsia="仿宋_GB2312" w:cs="宋体"/>
          <w:color w:val="auto"/>
          <w:kern w:val="0"/>
          <w:sz w:val="36"/>
          <w:szCs w:val="36"/>
          <w:highlight w:val="none"/>
          <w:lang w:val="en-US" w:eastAsia="zh-CN" w:bidi="ar-SA"/>
        </w:rPr>
      </w:pPr>
      <w:r>
        <w:rPr>
          <w:rFonts w:hint="eastAsia" w:ascii="仿宋_GB2312" w:hAnsi="黑体" w:eastAsia="仿宋_GB2312" w:cs="Times New Roman"/>
          <w:color w:val="auto"/>
          <w:sz w:val="36"/>
          <w:szCs w:val="36"/>
          <w:highlight w:val="none"/>
          <w:lang w:val="en-US" w:eastAsia="zh-CN"/>
        </w:rPr>
        <w:t>1.申报并购项目应</w:t>
      </w:r>
      <w:r>
        <w:rPr>
          <w:rFonts w:hint="eastAsia" w:ascii="仿宋_GB2312" w:hAnsi="仿宋_GB2312" w:eastAsia="仿宋_GB2312" w:cs="仿宋_GB2312"/>
          <w:color w:val="auto"/>
          <w:spacing w:val="-6"/>
          <w:sz w:val="36"/>
          <w:szCs w:val="36"/>
          <w:lang w:val="en-US" w:eastAsia="zh-CN" w:bidi="he-IL"/>
        </w:rPr>
        <w:t>符合</w:t>
      </w:r>
      <w:r>
        <w:rPr>
          <w:rFonts w:hint="eastAsia" w:ascii="仿宋_GB2312" w:hAnsi="宋体" w:eastAsia="仿宋_GB2312" w:cs="Times New Roman"/>
          <w:color w:val="auto"/>
          <w:sz w:val="36"/>
          <w:szCs w:val="36"/>
          <w:lang w:val="en-US" w:eastAsia="zh-CN"/>
        </w:rPr>
        <w:t>国家相关法律法规、政策，且</w:t>
      </w:r>
      <w:r>
        <w:rPr>
          <w:rFonts w:hint="eastAsia" w:ascii="仿宋_GB2312" w:hAnsi="仿宋_GB2312" w:eastAsia="仿宋_GB2312" w:cs="仿宋_GB2312"/>
          <w:color w:val="auto"/>
          <w:spacing w:val="-6"/>
          <w:sz w:val="36"/>
          <w:szCs w:val="36"/>
          <w:lang w:val="en-US" w:eastAsia="zh-CN" w:bidi="he-IL"/>
        </w:rPr>
        <w:t>对高端科学仪器和传感器产业发展有促进支撑作用。</w:t>
      </w:r>
    </w:p>
    <w:p w14:paraId="417AED4A">
      <w:pPr>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720" w:firstLineChars="200"/>
        <w:jc w:val="left"/>
        <w:textAlignment w:val="baseline"/>
        <w:rPr>
          <w:rFonts w:hint="eastAsia" w:ascii="仿宋_GB2312" w:hAnsi="黑体" w:eastAsia="仿宋_GB2312" w:cs="宋体"/>
          <w:color w:val="auto"/>
          <w:kern w:val="0"/>
          <w:sz w:val="36"/>
          <w:szCs w:val="36"/>
          <w:highlight w:val="none"/>
          <w:lang w:val="en-US" w:eastAsia="zh-CN" w:bidi="ar-SA"/>
        </w:rPr>
      </w:pPr>
      <w:r>
        <w:rPr>
          <w:rFonts w:hint="eastAsia" w:ascii="仿宋_GB2312" w:hAnsi="黑体" w:eastAsia="仿宋_GB2312" w:cs="宋体"/>
          <w:color w:val="auto"/>
          <w:kern w:val="0"/>
          <w:sz w:val="36"/>
          <w:szCs w:val="36"/>
          <w:highlight w:val="none"/>
          <w:lang w:val="en-US" w:eastAsia="zh-CN" w:bidi="ar-SA"/>
        </w:rPr>
        <w:t>2.并购出资额1亿元以下，并</w:t>
      </w:r>
      <w:r>
        <w:rPr>
          <w:rFonts w:hint="eastAsia" w:ascii="仿宋_GB2312" w:hAnsi="黑体" w:eastAsia="仿宋_GB2312" w:cs="宋体"/>
          <w:color w:val="auto"/>
          <w:kern w:val="0"/>
          <w:sz w:val="36"/>
          <w:szCs w:val="36"/>
          <w:lang w:val="en-US" w:eastAsia="zh-CN" w:bidi="ar-SA"/>
        </w:rPr>
        <w:t>与银行签订</w:t>
      </w:r>
      <w:r>
        <w:rPr>
          <w:rFonts w:hint="eastAsia" w:ascii="仿宋_GB2312" w:hAnsi="黑体" w:eastAsia="仿宋_GB2312" w:cs="宋体"/>
          <w:color w:val="auto"/>
          <w:kern w:val="0"/>
          <w:sz w:val="36"/>
          <w:szCs w:val="36"/>
          <w:lang w:val="en-US" w:eastAsia="zh-Hans" w:bidi="ar-SA"/>
        </w:rPr>
        <w:t>贷款</w:t>
      </w:r>
      <w:r>
        <w:rPr>
          <w:rFonts w:hint="eastAsia" w:ascii="仿宋_GB2312" w:hAnsi="黑体" w:eastAsia="仿宋_GB2312" w:cs="宋体"/>
          <w:color w:val="auto"/>
          <w:kern w:val="0"/>
          <w:sz w:val="36"/>
          <w:szCs w:val="36"/>
          <w:lang w:val="en-US" w:eastAsia="zh-CN" w:bidi="ar-SA"/>
        </w:rPr>
        <w:t>合同</w:t>
      </w:r>
      <w:r>
        <w:rPr>
          <w:rFonts w:hint="eastAsia" w:ascii="仿宋_GB2312" w:hAnsi="黑体" w:eastAsia="仿宋_GB2312" w:cs="宋体"/>
          <w:color w:val="auto"/>
          <w:kern w:val="0"/>
          <w:sz w:val="36"/>
          <w:szCs w:val="36"/>
          <w:highlight w:val="none"/>
          <w:lang w:val="en-US" w:eastAsia="zh-CN" w:bidi="ar-SA"/>
        </w:rPr>
        <w:t>，贴息期限不早于并购结束日期，不晚于申报之日。</w:t>
      </w:r>
    </w:p>
    <w:p w14:paraId="6DCB27BB">
      <w:pPr>
        <w:keepNext w:val="0"/>
        <w:keepLines w:val="0"/>
        <w:pageBreakBefore w:val="0"/>
        <w:kinsoku/>
        <w:wordWrap/>
        <w:overflowPunct w:val="0"/>
        <w:topLinePunct w:val="0"/>
        <w:autoSpaceDE/>
        <w:autoSpaceDN/>
        <w:bidi w:val="0"/>
        <w:adjustRightInd w:val="0"/>
        <w:snapToGrid w:val="0"/>
        <w:spacing w:after="0" w:line="50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3" w:name="_Toc1158619876"/>
      <w:r>
        <w:rPr>
          <w:rFonts w:hint="eastAsia" w:ascii="黑体" w:hAnsi="黑体" w:eastAsia="黑体" w:cs="黑体"/>
          <w:color w:val="auto"/>
          <w:kern w:val="2"/>
          <w:sz w:val="36"/>
          <w:szCs w:val="36"/>
          <w:lang w:val="en-US" w:eastAsia="zh-CN" w:bidi="ar-SA"/>
        </w:rPr>
        <w:t>三、支持标准</w:t>
      </w:r>
      <w:bookmarkEnd w:id="3"/>
    </w:p>
    <w:p w14:paraId="3EA5261C">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lang w:val="en-US" w:eastAsia="zh-CN"/>
        </w:rPr>
        <w:t>采取后补助方式给予支持。</w:t>
      </w:r>
    </w:p>
    <w:p w14:paraId="6E0D0F1E">
      <w:pPr>
        <w:keepNext w:val="0"/>
        <w:keepLines w:val="0"/>
        <w:pageBreakBefore w:val="0"/>
        <w:widowControl/>
        <w:kinsoku/>
        <w:wordWrap/>
        <w:topLinePunct w:val="0"/>
        <w:autoSpaceDE/>
        <w:autoSpaceDN/>
        <w:bidi w:val="0"/>
        <w:adjustRightInd w:val="0"/>
        <w:snapToGrid w:val="0"/>
        <w:spacing w:before="0" w:beforeAutospacing="0" w:after="0" w:afterAutospacing="0" w:line="500" w:lineRule="exact"/>
        <w:ind w:firstLine="720" w:firstLineChars="200"/>
        <w:contextualSpacing/>
        <w:jc w:val="left"/>
        <w:rPr>
          <w:rFonts w:hint="eastAsia" w:ascii="仿宋_GB2312" w:hAnsi="仿宋_GB2312" w:eastAsia="仿宋_GB2312" w:cs="仿宋_GB2312"/>
          <w:color w:val="auto"/>
          <w:kern w:val="2"/>
          <w:sz w:val="36"/>
          <w:szCs w:val="36"/>
          <w:highlight w:val="none"/>
          <w:lang w:val="en-US" w:eastAsia="zh-CN" w:bidi="ar-SA"/>
        </w:rPr>
      </w:pPr>
      <w:r>
        <w:rPr>
          <w:rFonts w:hint="eastAsia" w:ascii="仿宋_GB2312" w:hAnsi="仿宋_GB2312" w:eastAsia="仿宋_GB2312" w:cs="仿宋_GB2312"/>
          <w:color w:val="auto"/>
          <w:kern w:val="2"/>
          <w:sz w:val="36"/>
          <w:szCs w:val="36"/>
          <w:highlight w:val="none"/>
          <w:lang w:val="en-US" w:eastAsia="zh-CN" w:bidi="ar-SA"/>
        </w:rPr>
        <w:t>对申报单位支付的利息分年度给予事后贴息，贴息率不超过人民银行公布的同期中长期贷款市场报价利率（LPR），贴息期限不超过3年，单个项目年度贴息金额最高300万元。</w:t>
      </w:r>
    </w:p>
    <w:p w14:paraId="109D223C">
      <w:pPr>
        <w:keepNext w:val="0"/>
        <w:keepLines w:val="0"/>
        <w:pageBreakBefore w:val="0"/>
        <w:kinsoku/>
        <w:wordWrap/>
        <w:overflowPunct w:val="0"/>
        <w:topLinePunct w:val="0"/>
        <w:autoSpaceDE/>
        <w:autoSpaceDN/>
        <w:bidi w:val="0"/>
        <w:adjustRightInd w:val="0"/>
        <w:snapToGrid w:val="0"/>
        <w:spacing w:after="0" w:line="50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4" w:name="_Toc1690028583"/>
      <w:r>
        <w:rPr>
          <w:rFonts w:hint="eastAsia" w:ascii="黑体" w:hAnsi="黑体" w:eastAsia="黑体" w:cs="黑体"/>
          <w:color w:val="auto"/>
          <w:kern w:val="2"/>
          <w:sz w:val="36"/>
          <w:szCs w:val="36"/>
          <w:lang w:val="en-US" w:eastAsia="zh-CN" w:bidi="ar-SA"/>
        </w:rPr>
        <w:t>四、申报材料</w:t>
      </w:r>
      <w:bookmarkEnd w:id="4"/>
    </w:p>
    <w:p w14:paraId="7488F654">
      <w:pPr>
        <w:keepNext w:val="0"/>
        <w:keepLines w:val="0"/>
        <w:pageBreakBefore w:val="0"/>
        <w:widowControl/>
        <w:kinsoku/>
        <w:wordWrap/>
        <w:topLinePunct w:val="0"/>
        <w:autoSpaceDE/>
        <w:autoSpaceDN/>
        <w:bidi w:val="0"/>
        <w:adjustRightInd w:val="0"/>
        <w:snapToGrid w:val="0"/>
        <w:spacing w:before="0" w:beforeAutospacing="0" w:after="0" w:afterAutospacing="0" w:line="500" w:lineRule="exact"/>
        <w:ind w:firstLine="720" w:firstLineChars="200"/>
        <w:contextualSpacing/>
        <w:jc w:val="left"/>
        <w:rPr>
          <w:rFonts w:hint="eastAsia" w:ascii="仿宋_GB2312" w:hAnsi="仿宋_GB2312" w:eastAsia="仿宋_GB2312" w:cs="仿宋_GB2312"/>
          <w:color w:val="auto"/>
          <w:kern w:val="2"/>
          <w:sz w:val="36"/>
          <w:szCs w:val="36"/>
          <w:highlight w:val="none"/>
          <w:lang w:val="en-US" w:eastAsia="zh-CN" w:bidi="ar-SA"/>
        </w:rPr>
      </w:pPr>
      <w:r>
        <w:rPr>
          <w:rFonts w:hint="eastAsia" w:ascii="仿宋_GB2312" w:hAnsi="仿宋_GB2312" w:eastAsia="仿宋_GB2312" w:cs="仿宋_GB2312"/>
          <w:color w:val="auto"/>
          <w:kern w:val="2"/>
          <w:sz w:val="36"/>
          <w:szCs w:val="36"/>
          <w:highlight w:val="none"/>
          <w:lang w:val="en-US" w:eastAsia="zh-CN" w:bidi="ar-SA"/>
        </w:rPr>
        <w:t>支持企业开展产业并购重组资金申报书（附件13-1）。</w:t>
      </w:r>
    </w:p>
    <w:p w14:paraId="5006026E">
      <w:pPr>
        <w:keepNext w:val="0"/>
        <w:keepLines w:val="0"/>
        <w:pageBreakBefore w:val="0"/>
        <w:widowControl/>
        <w:kinsoku/>
        <w:wordWrap/>
        <w:topLinePunct w:val="0"/>
        <w:autoSpaceDE/>
        <w:autoSpaceDN/>
        <w:bidi w:val="0"/>
        <w:adjustRightInd w:val="0"/>
        <w:snapToGrid w:val="0"/>
        <w:spacing w:before="0" w:beforeAutospacing="0" w:after="0" w:afterAutospacing="0" w:line="500" w:lineRule="exact"/>
        <w:ind w:left="718" w:leftChars="342" w:firstLine="0" w:firstLineChars="0"/>
        <w:contextualSpacing/>
        <w:jc w:val="left"/>
        <w:rPr>
          <w:rFonts w:hint="default" w:ascii="仿宋_GB2312" w:hAnsi="仿宋_GB2312" w:eastAsia="仿宋_GB2312" w:cs="仿宋_GB2312"/>
          <w:color w:val="auto"/>
          <w:sz w:val="36"/>
          <w:szCs w:val="36"/>
          <w:highlight w:val="none"/>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2"/>
          <w:sz w:val="36"/>
          <w:szCs w:val="36"/>
          <w:highlight w:val="none"/>
          <w:lang w:val="en-US" w:eastAsia="zh-CN" w:bidi="ar-SA"/>
        </w:rPr>
        <w:t xml:space="preserve">    </w:t>
      </w:r>
      <w:r>
        <w:rPr>
          <w:rFonts w:hint="eastAsia" w:ascii="仿宋_GB2312" w:hAnsi="仿宋_GB2312" w:eastAsia="仿宋_GB2312" w:cs="仿宋_GB2312"/>
          <w:color w:val="auto"/>
          <w:spacing w:val="1"/>
          <w:w w:val="94"/>
          <w:kern w:val="0"/>
          <w:sz w:val="36"/>
          <w:szCs w:val="36"/>
          <w:highlight w:val="none"/>
          <w:fitText w:val="7380" w:id="-1224922116"/>
          <w:lang w:val="en-US" w:eastAsia="zh-CN"/>
        </w:rPr>
        <w:t>附件13-1:支持企业开展产业并购重组资金申报</w:t>
      </w:r>
      <w:r>
        <w:rPr>
          <w:rFonts w:hint="eastAsia" w:ascii="仿宋_GB2312" w:hAnsi="仿宋_GB2312" w:eastAsia="仿宋_GB2312" w:cs="仿宋_GB2312"/>
          <w:color w:val="auto"/>
          <w:spacing w:val="-1"/>
          <w:w w:val="94"/>
          <w:kern w:val="0"/>
          <w:sz w:val="36"/>
          <w:szCs w:val="36"/>
          <w:highlight w:val="none"/>
          <w:fitText w:val="7380" w:id="-1224922116"/>
          <w:lang w:val="en-US" w:eastAsia="zh-CN"/>
        </w:rPr>
        <w:t>书</w:t>
      </w:r>
    </w:p>
    <w:p w14:paraId="6DF64B35">
      <w:pPr>
        <w:widowControl/>
        <w:jc w:val="left"/>
        <w:rPr>
          <w:rFonts w:hint="default"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13</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56892235">
      <w:pPr>
        <w:jc w:val="center"/>
        <w:rPr>
          <w:rFonts w:hint="eastAsia" w:ascii="方正小标宋_GBK" w:hAnsi="华文中宋" w:eastAsia="方正小标宋_GBK"/>
          <w:color w:val="000000"/>
          <w:sz w:val="44"/>
          <w:szCs w:val="44"/>
        </w:rPr>
      </w:pPr>
    </w:p>
    <w:p w14:paraId="11AEEC00">
      <w:pPr>
        <w:jc w:val="center"/>
        <w:rPr>
          <w:rFonts w:hint="eastAsia" w:ascii="华文中宋" w:hAnsi="华文中宋" w:eastAsia="华文中宋" w:cs="宋体"/>
          <w:color w:val="000000"/>
          <w:sz w:val="44"/>
          <w:szCs w:val="44"/>
        </w:rPr>
      </w:pPr>
    </w:p>
    <w:p w14:paraId="7159D451">
      <w:pPr>
        <w:keepNext w:val="0"/>
        <w:keepLines w:val="0"/>
        <w:pageBreakBefore w:val="0"/>
        <w:kinsoku/>
        <w:wordWrap/>
        <w:topLinePunct w:val="0"/>
        <w:autoSpaceDE/>
        <w:autoSpaceDN/>
        <w:bidi w:val="0"/>
        <w:adjustRightInd w:val="0"/>
        <w:snapToGrid w:val="0"/>
        <w:spacing w:line="560" w:lineRule="exact"/>
        <w:contextualSpacing/>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支持企业开展产业并购重组资金</w:t>
      </w:r>
      <w:r>
        <w:rPr>
          <w:rFonts w:hint="eastAsia" w:ascii="方正小标宋简体" w:hAnsi="方正小标宋简体" w:eastAsia="方正小标宋简体" w:cs="方正小标宋简体"/>
          <w:color w:val="000000"/>
          <w:sz w:val="44"/>
          <w:szCs w:val="44"/>
        </w:rPr>
        <w:t>申报书</w:t>
      </w:r>
    </w:p>
    <w:p w14:paraId="427954F9">
      <w:pPr>
        <w:jc w:val="center"/>
        <w:rPr>
          <w:rFonts w:hint="eastAsia" w:ascii="方正小标宋简体" w:hAnsi="方正小标宋简体" w:eastAsia="方正小标宋简体" w:cs="方正小标宋简体"/>
          <w:color w:val="000000"/>
          <w:sz w:val="44"/>
          <w:szCs w:val="44"/>
        </w:rPr>
      </w:pPr>
    </w:p>
    <w:p w14:paraId="0AC64700">
      <w:pPr>
        <w:rPr>
          <w:rFonts w:hint="eastAsia"/>
          <w:color w:val="000000"/>
        </w:rPr>
      </w:pPr>
    </w:p>
    <w:p w14:paraId="67ADEC8E">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225BC0E8">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 xml:space="preserve"> </w:t>
      </w:r>
    </w:p>
    <w:p w14:paraId="7BE268EF">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66A8806B">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5024E8DD">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 xml:space="preserve">   </w:t>
      </w:r>
    </w:p>
    <w:p w14:paraId="04C0D04E">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仿宋_GB2312" w:hAnsi="宋体" w:eastAsia="仿宋_GB2312"/>
          <w:b/>
          <w:color w:val="000000"/>
          <w:sz w:val="24"/>
        </w:rPr>
      </w:pPr>
      <w:r>
        <w:rPr>
          <w:rFonts w:hint="eastAsia" w:ascii="仿宋_GB2312" w:hAnsi="宋体" w:eastAsia="仿宋_GB2312"/>
          <w:b/>
          <w:color w:val="000000"/>
          <w:sz w:val="24"/>
        </w:rPr>
        <w:t xml:space="preserve">   </w:t>
      </w:r>
    </w:p>
    <w:p w14:paraId="59F019D9">
      <w:pPr>
        <w:pStyle w:val="3"/>
        <w:rPr>
          <w:rFonts w:hint="eastAsia"/>
        </w:rPr>
      </w:pPr>
    </w:p>
    <w:p w14:paraId="6B5E4CF6">
      <w:pPr>
        <w:rPr>
          <w:rFonts w:hint="eastAsia"/>
        </w:rPr>
      </w:pPr>
    </w:p>
    <w:p w14:paraId="602A52A3">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23D72923">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17A2F74B">
      <w:pPr>
        <w:pStyle w:val="2"/>
        <w:jc w:val="center"/>
        <w:rPr>
          <w:rFonts w:hint="eastAsia" w:ascii="黑体" w:hAnsi="黑体" w:eastAsia="黑体"/>
          <w:highlight w:val="none"/>
        </w:rPr>
      </w:pPr>
    </w:p>
    <w:p w14:paraId="43F6D6A3">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2F14F597"/>
    <w:p w14:paraId="4B4B3638">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rPr>
        <w:t>1.本申报书各项内容及附件为申报怀柔科学城科学仪器和传感器产业创新发展若干措施</w:t>
      </w:r>
      <w:r>
        <w:rPr>
          <w:rFonts w:hint="eastAsia" w:ascii="仿宋_GB2312" w:hAnsi="宋体" w:eastAsia="仿宋_GB2312"/>
          <w:sz w:val="28"/>
          <w:szCs w:val="28"/>
          <w:highlight w:val="none"/>
          <w:lang w:val="en-US" w:eastAsia="zh-CN"/>
        </w:rPr>
        <w:t>资金支持</w:t>
      </w:r>
      <w:r>
        <w:rPr>
          <w:rFonts w:hint="eastAsia" w:ascii="仿宋_GB2312" w:hAnsi="宋体" w:eastAsia="仿宋_GB2312"/>
          <w:sz w:val="28"/>
          <w:szCs w:val="28"/>
          <w:highlight w:val="none"/>
        </w:rPr>
        <w:t>项目的企业或单位填写。</w:t>
      </w:r>
    </w:p>
    <w:p w14:paraId="7C3F231D">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rPr>
        <w:t>2.申报书须严格按照规定格式和栏目要求填写，申报书内容应真实、准确、完整、客观，文字表述应清晰、规范，严禁弄虚作假。</w:t>
      </w:r>
    </w:p>
    <w:p w14:paraId="6D8EDD95">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rPr>
        <w:t>3.申报书中的单位名称，请填写全称，并与单位公章一致；企业信息要与营业执照一致。</w:t>
      </w:r>
    </w:p>
    <w:p w14:paraId="757A316F">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rPr>
        <w:t>4.申报书中涉及金额的一律以万元为单位，四舍五入保留整数。</w:t>
      </w:r>
    </w:p>
    <w:p w14:paraId="11DC96D2">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rPr>
        <w:t>5.申报书用计算机打印填报（A4），字迹要工整清楚，页面整洁。凡不填写的内容，请用“无”表示，各栏不够时，可自行加页。</w:t>
      </w:r>
    </w:p>
    <w:p w14:paraId="49E33CCB">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rPr>
        <w:t>6.项目申报书需打印一式2份（A4幅面，双面印刷，简装成册），在封面、骑缝和承诺书页加盖申报单位公章。</w:t>
      </w:r>
    </w:p>
    <w:p w14:paraId="1D144E65">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sz w:val="28"/>
          <w:szCs w:val="28"/>
          <w:highlight w:val="none"/>
        </w:rPr>
        <w:t>7.申报单位须按照申报要求提供相关证明材料复印件。</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bookmarkStart w:id="5" w:name="_GoBack"/>
            <w:bookmarkEnd w:id="5"/>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533D8C61">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135"/>
        <w:gridCol w:w="2081"/>
        <w:gridCol w:w="2114"/>
        <w:gridCol w:w="1425"/>
      </w:tblGrid>
      <w:tr w14:paraId="4484EFBC">
        <w:trPr>
          <w:cantSplit/>
          <w:trHeight w:val="873" w:hRule="atLeast"/>
          <w:jc w:val="center"/>
        </w:trPr>
        <w:tc>
          <w:tcPr>
            <w:tcW w:w="9463" w:type="dxa"/>
            <w:gridSpan w:val="5"/>
            <w:tcBorders>
              <w:top w:val="nil"/>
              <w:left w:val="nil"/>
              <w:bottom w:val="single" w:color="auto" w:sz="4" w:space="0"/>
              <w:right w:val="nil"/>
            </w:tcBorders>
            <w:vAlign w:val="center"/>
          </w:tcPr>
          <w:p w14:paraId="78CAC534">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1AB26486">
        <w:trPr>
          <w:cantSplit/>
          <w:trHeight w:val="873" w:hRule="atLeast"/>
          <w:jc w:val="center"/>
        </w:trPr>
        <w:tc>
          <w:tcPr>
            <w:tcW w:w="1708" w:type="dxa"/>
            <w:vMerge w:val="restart"/>
            <w:vAlign w:val="center"/>
          </w:tcPr>
          <w:p w14:paraId="462AC2EE">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并购项目信息</w:t>
            </w:r>
          </w:p>
        </w:tc>
        <w:tc>
          <w:tcPr>
            <w:tcW w:w="2135" w:type="dxa"/>
            <w:vAlign w:val="center"/>
          </w:tcPr>
          <w:p w14:paraId="492D3C37">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被并购单位名称或业务</w:t>
            </w:r>
          </w:p>
        </w:tc>
        <w:tc>
          <w:tcPr>
            <w:tcW w:w="5620" w:type="dxa"/>
            <w:gridSpan w:val="3"/>
            <w:vAlign w:val="center"/>
          </w:tcPr>
          <w:p w14:paraId="333AA5B6">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p>
        </w:tc>
      </w:tr>
      <w:tr w14:paraId="4D190521">
        <w:trPr>
          <w:cantSplit/>
          <w:trHeight w:val="873" w:hRule="atLeast"/>
          <w:jc w:val="center"/>
        </w:trPr>
        <w:tc>
          <w:tcPr>
            <w:tcW w:w="1708" w:type="dxa"/>
            <w:vMerge w:val="continue"/>
            <w:vAlign w:val="center"/>
          </w:tcPr>
          <w:p w14:paraId="6C16C784">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35" w:type="dxa"/>
            <w:vAlign w:val="center"/>
          </w:tcPr>
          <w:p w14:paraId="28D56827">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统一社会信用代码</w:t>
            </w:r>
          </w:p>
        </w:tc>
        <w:tc>
          <w:tcPr>
            <w:tcW w:w="5620" w:type="dxa"/>
            <w:gridSpan w:val="3"/>
            <w:vAlign w:val="center"/>
          </w:tcPr>
          <w:p w14:paraId="0B428BDA">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p>
        </w:tc>
      </w:tr>
      <w:tr w14:paraId="2FB89617">
        <w:trPr>
          <w:cantSplit/>
          <w:trHeight w:val="873" w:hRule="atLeast"/>
          <w:jc w:val="center"/>
        </w:trPr>
        <w:tc>
          <w:tcPr>
            <w:tcW w:w="1708" w:type="dxa"/>
            <w:vMerge w:val="continue"/>
            <w:vAlign w:val="center"/>
          </w:tcPr>
          <w:p w14:paraId="53D2664A">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p>
        </w:tc>
        <w:tc>
          <w:tcPr>
            <w:tcW w:w="2135" w:type="dxa"/>
            <w:vAlign w:val="center"/>
          </w:tcPr>
          <w:p w14:paraId="5CE56EF7">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成立日期</w:t>
            </w:r>
          </w:p>
        </w:tc>
        <w:tc>
          <w:tcPr>
            <w:tcW w:w="5620" w:type="dxa"/>
            <w:gridSpan w:val="3"/>
            <w:vAlign w:val="center"/>
          </w:tcPr>
          <w:p w14:paraId="38A6A6B3">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p>
        </w:tc>
      </w:tr>
      <w:tr w14:paraId="5560BD5B">
        <w:trPr>
          <w:cantSplit/>
          <w:trHeight w:val="873" w:hRule="atLeast"/>
          <w:jc w:val="center"/>
        </w:trPr>
        <w:tc>
          <w:tcPr>
            <w:tcW w:w="1708" w:type="dxa"/>
            <w:vMerge w:val="continue"/>
            <w:vAlign w:val="center"/>
          </w:tcPr>
          <w:p w14:paraId="40870BC6">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p>
        </w:tc>
        <w:tc>
          <w:tcPr>
            <w:tcW w:w="2135" w:type="dxa"/>
            <w:vAlign w:val="center"/>
          </w:tcPr>
          <w:p w14:paraId="0B9877B2">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所属行业领域</w:t>
            </w:r>
          </w:p>
        </w:tc>
        <w:tc>
          <w:tcPr>
            <w:tcW w:w="5620" w:type="dxa"/>
            <w:gridSpan w:val="3"/>
            <w:vAlign w:val="center"/>
          </w:tcPr>
          <w:p w14:paraId="7C760621">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3785D3AD">
        <w:trPr>
          <w:cantSplit/>
          <w:trHeight w:val="873" w:hRule="atLeast"/>
          <w:jc w:val="center"/>
        </w:trPr>
        <w:tc>
          <w:tcPr>
            <w:tcW w:w="1708" w:type="dxa"/>
            <w:vMerge w:val="continue"/>
            <w:vAlign w:val="center"/>
          </w:tcPr>
          <w:p w14:paraId="1E606006">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35" w:type="dxa"/>
            <w:vAlign w:val="center"/>
          </w:tcPr>
          <w:p w14:paraId="7B78A8BF">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注册地址</w:t>
            </w:r>
          </w:p>
        </w:tc>
        <w:tc>
          <w:tcPr>
            <w:tcW w:w="5620" w:type="dxa"/>
            <w:gridSpan w:val="3"/>
            <w:vAlign w:val="center"/>
          </w:tcPr>
          <w:p w14:paraId="5EAB60DC">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5F590DA4">
        <w:trPr>
          <w:cantSplit/>
          <w:trHeight w:val="873" w:hRule="atLeast"/>
          <w:jc w:val="center"/>
        </w:trPr>
        <w:tc>
          <w:tcPr>
            <w:tcW w:w="1708" w:type="dxa"/>
            <w:vMerge w:val="continue"/>
            <w:vAlign w:val="center"/>
          </w:tcPr>
          <w:p w14:paraId="708BEBDF">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35" w:type="dxa"/>
            <w:vAlign w:val="center"/>
          </w:tcPr>
          <w:p w14:paraId="48A1AA16">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主营业务</w:t>
            </w:r>
          </w:p>
        </w:tc>
        <w:tc>
          <w:tcPr>
            <w:tcW w:w="5620" w:type="dxa"/>
            <w:gridSpan w:val="3"/>
            <w:vAlign w:val="center"/>
          </w:tcPr>
          <w:p w14:paraId="672CBDDC">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45C85017">
        <w:trPr>
          <w:cantSplit/>
          <w:trHeight w:val="873" w:hRule="atLeast"/>
          <w:jc w:val="center"/>
        </w:trPr>
        <w:tc>
          <w:tcPr>
            <w:tcW w:w="1708" w:type="dxa"/>
            <w:vMerge w:val="continue"/>
            <w:vAlign w:val="center"/>
          </w:tcPr>
          <w:p w14:paraId="3D015ED3">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p>
        </w:tc>
        <w:tc>
          <w:tcPr>
            <w:tcW w:w="2135" w:type="dxa"/>
            <w:vAlign w:val="center"/>
          </w:tcPr>
          <w:p w14:paraId="00F7A0E3">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并购总出资</w:t>
            </w:r>
          </w:p>
          <w:p w14:paraId="7CE05F4B">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（万元）</w:t>
            </w:r>
          </w:p>
        </w:tc>
        <w:tc>
          <w:tcPr>
            <w:tcW w:w="2081" w:type="dxa"/>
            <w:vAlign w:val="center"/>
          </w:tcPr>
          <w:p w14:paraId="1940DF9F">
            <w:pPr>
              <w:pStyle w:val="4"/>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default" w:ascii="仿宋_GB2312" w:hAnsi="仿宋_GB2312" w:eastAsia="仿宋_GB2312" w:cs="仿宋_GB2312"/>
                <w:color w:val="000000"/>
                <w:kern w:val="2"/>
                <w:sz w:val="28"/>
                <w:szCs w:val="28"/>
                <w:u w:val="single"/>
                <w:lang w:val="en-US" w:eastAsia="zh-CN" w:bidi="ar-SA"/>
              </w:rPr>
            </w:pPr>
            <w:r>
              <w:rPr>
                <w:rFonts w:hint="eastAsia" w:ascii="仿宋_GB2312" w:hAnsi="仿宋_GB2312" w:eastAsia="仿宋_GB2312" w:cs="仿宋_GB2312"/>
                <w:color w:val="000000"/>
                <w:kern w:val="2"/>
                <w:sz w:val="28"/>
                <w:szCs w:val="28"/>
                <w:lang w:val="en-US" w:eastAsia="zh-CN" w:bidi="ar-SA"/>
              </w:rPr>
              <w:t>企业自有</w:t>
            </w:r>
            <w:r>
              <w:rPr>
                <w:rFonts w:hint="eastAsia" w:ascii="仿宋_GB2312" w:hAnsi="仿宋_GB2312" w:eastAsia="仿宋_GB2312" w:cs="仿宋_GB2312"/>
                <w:color w:val="000000"/>
                <w:kern w:val="2"/>
                <w:sz w:val="28"/>
                <w:szCs w:val="28"/>
                <w:u w:val="single"/>
                <w:lang w:val="en-US" w:eastAsia="zh-CN" w:bidi="ar-SA"/>
              </w:rPr>
              <w:t xml:space="preserve">           </w:t>
            </w:r>
          </w:p>
        </w:tc>
        <w:tc>
          <w:tcPr>
            <w:tcW w:w="2114" w:type="dxa"/>
            <w:vAlign w:val="center"/>
          </w:tcPr>
          <w:p w14:paraId="3611029E">
            <w:pPr>
              <w:pStyle w:val="4"/>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银行贷款</w:t>
            </w:r>
            <w:r>
              <w:rPr>
                <w:rFonts w:hint="eastAsia" w:ascii="仿宋_GB2312" w:hAnsi="仿宋_GB2312" w:eastAsia="仿宋_GB2312" w:cs="仿宋_GB2312"/>
                <w:color w:val="000000"/>
                <w:kern w:val="2"/>
                <w:sz w:val="28"/>
                <w:szCs w:val="28"/>
                <w:u w:val="single"/>
                <w:lang w:val="en-US" w:eastAsia="zh-CN" w:bidi="ar-SA"/>
              </w:rPr>
              <w:t xml:space="preserve">             </w:t>
            </w:r>
            <w:r>
              <w:rPr>
                <w:rFonts w:hint="eastAsia" w:ascii="仿宋_GB2312" w:hAnsi="仿宋_GB2312" w:eastAsia="仿宋_GB2312" w:cs="仿宋_GB2312"/>
                <w:color w:val="000000"/>
                <w:kern w:val="2"/>
                <w:sz w:val="28"/>
                <w:szCs w:val="28"/>
                <w:lang w:val="en-US" w:eastAsia="zh-CN" w:bidi="ar-SA"/>
              </w:rPr>
              <w:t xml:space="preserve">  </w:t>
            </w:r>
          </w:p>
        </w:tc>
        <w:tc>
          <w:tcPr>
            <w:tcW w:w="1425" w:type="dxa"/>
            <w:vAlign w:val="center"/>
          </w:tcPr>
          <w:p w14:paraId="158C691F">
            <w:pPr>
              <w:pStyle w:val="4"/>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其他</w:t>
            </w:r>
            <w:r>
              <w:rPr>
                <w:rFonts w:hint="eastAsia" w:ascii="仿宋_GB2312" w:hAnsi="仿宋_GB2312" w:eastAsia="仿宋_GB2312" w:cs="仿宋_GB2312"/>
                <w:color w:val="000000"/>
                <w:kern w:val="2"/>
                <w:sz w:val="28"/>
                <w:szCs w:val="28"/>
                <w:u w:val="single"/>
                <w:lang w:val="en-US" w:eastAsia="zh-CN" w:bidi="ar-SA"/>
              </w:rPr>
              <w:t xml:space="preserve">      </w:t>
            </w:r>
            <w:r>
              <w:rPr>
                <w:rFonts w:hint="eastAsia" w:ascii="仿宋_GB2312" w:hAnsi="仿宋_GB2312" w:eastAsia="仿宋_GB2312" w:cs="仿宋_GB2312"/>
                <w:color w:val="000000"/>
                <w:kern w:val="2"/>
                <w:sz w:val="28"/>
                <w:szCs w:val="28"/>
                <w:lang w:val="en-US" w:eastAsia="zh-CN" w:bidi="ar-SA"/>
              </w:rPr>
              <w:t xml:space="preserve">  </w:t>
            </w:r>
          </w:p>
        </w:tc>
      </w:tr>
      <w:tr w14:paraId="4067B8D3">
        <w:trPr>
          <w:cantSplit/>
          <w:trHeight w:val="873" w:hRule="atLeast"/>
          <w:jc w:val="center"/>
        </w:trPr>
        <w:tc>
          <w:tcPr>
            <w:tcW w:w="1708" w:type="dxa"/>
            <w:vMerge w:val="continue"/>
            <w:vAlign w:val="center"/>
          </w:tcPr>
          <w:p w14:paraId="33AD954B">
            <w:pPr>
              <w:pStyle w:val="4"/>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default" w:ascii="仿宋_GB2312" w:hAnsi="仿宋_GB2312" w:eastAsia="仿宋_GB2312" w:cs="仿宋_GB2312"/>
                <w:color w:val="000000"/>
                <w:kern w:val="2"/>
                <w:sz w:val="28"/>
                <w:szCs w:val="28"/>
                <w:lang w:val="en-US" w:eastAsia="zh-CN" w:bidi="ar-SA"/>
              </w:rPr>
            </w:pPr>
          </w:p>
        </w:tc>
        <w:tc>
          <w:tcPr>
            <w:tcW w:w="2135" w:type="dxa"/>
            <w:vAlign w:val="center"/>
          </w:tcPr>
          <w:p w14:paraId="41B3C2BA">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贷款银行名称</w:t>
            </w:r>
          </w:p>
        </w:tc>
        <w:tc>
          <w:tcPr>
            <w:tcW w:w="5620" w:type="dxa"/>
            <w:gridSpan w:val="3"/>
            <w:vAlign w:val="center"/>
          </w:tcPr>
          <w:p w14:paraId="569EBECC">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p>
        </w:tc>
      </w:tr>
      <w:tr w14:paraId="47B7E6B9">
        <w:trPr>
          <w:cantSplit/>
          <w:trHeight w:val="873" w:hRule="atLeast"/>
          <w:jc w:val="center"/>
        </w:trPr>
        <w:tc>
          <w:tcPr>
            <w:tcW w:w="1708" w:type="dxa"/>
            <w:vMerge w:val="continue"/>
            <w:vAlign w:val="center"/>
          </w:tcPr>
          <w:p w14:paraId="12D4CC99">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35" w:type="dxa"/>
            <w:vAlign w:val="center"/>
          </w:tcPr>
          <w:p w14:paraId="769DC46D">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申报贴息期</w:t>
            </w:r>
          </w:p>
        </w:tc>
        <w:tc>
          <w:tcPr>
            <w:tcW w:w="5620" w:type="dxa"/>
            <w:gridSpan w:val="3"/>
            <w:vAlign w:val="center"/>
          </w:tcPr>
          <w:p w14:paraId="1E526000">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5B8EDFBB">
        <w:trPr>
          <w:cantSplit/>
          <w:trHeight w:val="873" w:hRule="atLeast"/>
          <w:jc w:val="center"/>
        </w:trPr>
        <w:tc>
          <w:tcPr>
            <w:tcW w:w="1708" w:type="dxa"/>
            <w:vMerge w:val="continue"/>
            <w:vAlign w:val="center"/>
          </w:tcPr>
          <w:p w14:paraId="3D8622D7">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35" w:type="dxa"/>
            <w:vAlign w:val="center"/>
          </w:tcPr>
          <w:p w14:paraId="7A0B722C">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default" w:ascii="仿宋_GB2312" w:hAnsi="仿宋_GB2312" w:eastAsia="仿宋_GB2312" w:cs="仿宋_GB2312"/>
                <w:color w:val="000000"/>
                <w:kern w:val="2"/>
                <w:sz w:val="28"/>
                <w:szCs w:val="28"/>
                <w:lang w:val="en-US" w:eastAsia="zh-CN" w:bidi="ar-SA"/>
              </w:rPr>
              <w:t>拟申报贴息额</w:t>
            </w:r>
          </w:p>
        </w:tc>
        <w:tc>
          <w:tcPr>
            <w:tcW w:w="5620" w:type="dxa"/>
            <w:gridSpan w:val="3"/>
            <w:vAlign w:val="center"/>
          </w:tcPr>
          <w:p w14:paraId="78EC6481">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bl>
    <w:p w14:paraId="037C0DD0">
      <w:pPr>
        <w:pStyle w:val="3"/>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br w:type="page"/>
      </w:r>
    </w:p>
    <w:p w14:paraId="558667F8">
      <w:pPr>
        <w:rPr>
          <w:rFonts w:hint="eastAsia"/>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p w14:paraId="35EDF4B4">
      <w:pPr>
        <w:pStyle w:val="3"/>
        <w:rPr>
          <w:rFonts w:hint="eastAsia"/>
          <w:lang w:val="en-US" w:eastAsia="zh-CN"/>
        </w:r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7755"/>
      </w:tblGrid>
      <w:tr w14:paraId="4BF89BF5">
        <w:trPr>
          <w:cantSplit/>
          <w:trHeight w:val="12501" w:hRule="atLeast"/>
          <w:jc w:val="center"/>
        </w:trPr>
        <w:tc>
          <w:tcPr>
            <w:tcW w:w="1708" w:type="dxa"/>
            <w:tcBorders>
              <w:bottom w:val="single" w:color="auto" w:sz="4" w:space="0"/>
            </w:tcBorders>
            <w:vAlign w:val="center"/>
          </w:tcPr>
          <w:p w14:paraId="3D1BC51B">
            <w:pPr>
              <w:pStyle w:val="3"/>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742E3069">
            <w:pPr>
              <w:pStyle w:val="4"/>
              <w:pageBreakBefore w:val="0"/>
              <w:widowControl w:val="0"/>
              <w:kinsoku/>
              <w:wordWrap/>
              <w:overflowPunct/>
              <w:topLinePunct w:val="0"/>
              <w:autoSpaceDE/>
              <w:autoSpaceDN/>
              <w:bidi w:val="0"/>
              <w:adjustRightInd/>
              <w:snapToGrid/>
              <w:spacing w:after="0" w:line="520" w:lineRule="exact"/>
              <w:textAlignment w:val="auto"/>
              <w:rPr>
                <w:rFonts w:hint="eastAsia" w:ascii="仿宋_GB2312" w:hAnsi="仿宋_GB2312" w:eastAsia="仿宋_GB2312" w:cs="仿宋_GB2312"/>
                <w:color w:val="000000"/>
                <w:kern w:val="2"/>
                <w:sz w:val="28"/>
                <w:szCs w:val="28"/>
                <w:lang w:val="en-US" w:eastAsia="zh-CN" w:bidi="ar-SA"/>
              </w:rPr>
            </w:pPr>
          </w:p>
        </w:tc>
        <w:tc>
          <w:tcPr>
            <w:tcW w:w="7755" w:type="dxa"/>
            <w:tcBorders>
              <w:bottom w:val="single" w:color="auto" w:sz="4" w:space="0"/>
            </w:tcBorders>
            <w:vAlign w:val="top"/>
          </w:tcPr>
          <w:p w14:paraId="55852C27">
            <w:pPr>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依据申报条件逐条阐述。可另附页。其中重点说明：1.企业所处行业水平及市场占有率、知识产权的数量等；2.并购项目对于本企业发展起到的促进作用，包括对行业地位、市场占有率、技术实力及盈利能力等提升作用；3.已获得国家、区级或其他财政贴息，应扣除相应部分。</w:t>
            </w:r>
          </w:p>
        </w:tc>
      </w:tr>
    </w:tbl>
    <w:p w14:paraId="49B83A49">
      <w:pPr>
        <w:pStyle w:val="2"/>
        <w:jc w:val="center"/>
        <w:rPr>
          <w:rFonts w:hint="eastAsia" w:ascii="黑体" w:hAnsi="黑体" w:eastAsia="黑体"/>
          <w:sz w:val="32"/>
          <w:szCs w:val="32"/>
          <w:highlight w:val="none"/>
        </w:rPr>
      </w:pPr>
      <w:r>
        <w:rPr>
          <w:rFonts w:hint="eastAsia" w:ascii="黑体" w:hAnsi="黑体" w:eastAsia="黑体"/>
          <w:sz w:val="32"/>
          <w:szCs w:val="32"/>
          <w:highlight w:val="none"/>
        </w:rPr>
        <w:br w:type="page"/>
      </w:r>
    </w:p>
    <w:tbl>
      <w:tblPr>
        <w:tblStyle w:val="8"/>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6"/>
        <w:gridCol w:w="1252"/>
        <w:gridCol w:w="1819"/>
        <w:gridCol w:w="1935"/>
        <w:gridCol w:w="1197"/>
        <w:gridCol w:w="1324"/>
        <w:gridCol w:w="499"/>
      </w:tblGrid>
      <w:tr w14:paraId="55B2DC92">
        <w:trPr>
          <w:trHeight w:val="832" w:hRule="atLeast"/>
        </w:trPr>
        <w:tc>
          <w:tcPr>
            <w:tcW w:w="9962" w:type="dxa"/>
            <w:gridSpan w:val="7"/>
            <w:tcBorders>
              <w:top w:val="nil"/>
              <w:left w:val="nil"/>
              <w:bottom w:val="single" w:color="000000" w:sz="2" w:space="0"/>
              <w:right w:val="nil"/>
            </w:tcBorders>
            <w:noWrap w:val="0"/>
            <w:vAlign w:val="top"/>
          </w:tcPr>
          <w:p w14:paraId="1A0AAAD0">
            <w:pPr>
              <w:spacing w:line="560" w:lineRule="exact"/>
              <w:jc w:val="center"/>
              <w:rPr>
                <w:rFonts w:hint="eastAsia" w:ascii="仿宋_GB2312" w:hAnsi="仿宋_GB2312" w:eastAsia="仿宋_GB2312" w:cs="仿宋_GB2312"/>
                <w:sz w:val="28"/>
                <w:szCs w:val="28"/>
              </w:rPr>
            </w:pPr>
            <w:r>
              <w:rPr>
                <w:rFonts w:hint="eastAsia" w:ascii="黑体" w:hAnsi="黑体" w:eastAsia="黑体" w:cs="黑体"/>
                <w:b/>
                <w:bCs/>
                <w:color w:val="000000"/>
                <w:sz w:val="32"/>
                <w:szCs w:val="32"/>
                <w:lang w:val="en-US" w:eastAsia="zh-CN"/>
              </w:rPr>
              <w:t>银行借款合同审查表</w:t>
            </w:r>
          </w:p>
        </w:tc>
      </w:tr>
      <w:tr w14:paraId="56827814">
        <w:trPr>
          <w:trHeight w:val="534" w:hRule="atLeast"/>
        </w:trPr>
        <w:tc>
          <w:tcPr>
            <w:tcW w:w="1936" w:type="dxa"/>
            <w:tcBorders>
              <w:top w:val="single" w:color="000000" w:sz="2" w:space="0"/>
              <w:left w:val="single" w:color="000000" w:sz="2" w:space="0"/>
              <w:bottom w:val="single" w:color="000000" w:sz="2" w:space="0"/>
            </w:tcBorders>
            <w:noWrap w:val="0"/>
            <w:vAlign w:val="top"/>
          </w:tcPr>
          <w:p w14:paraId="508442CD">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企业名称</w:t>
            </w:r>
          </w:p>
        </w:tc>
        <w:tc>
          <w:tcPr>
            <w:tcW w:w="8026" w:type="dxa"/>
            <w:gridSpan w:val="6"/>
            <w:tcBorders>
              <w:top w:val="single" w:color="000000" w:sz="2" w:space="0"/>
              <w:bottom w:val="single" w:color="000000" w:sz="2" w:space="0"/>
              <w:right w:val="single" w:color="000000" w:sz="2" w:space="0"/>
            </w:tcBorders>
            <w:noWrap w:val="0"/>
            <w:vAlign w:val="top"/>
          </w:tcPr>
          <w:p w14:paraId="38DE68B2">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5B59F20">
        <w:trPr>
          <w:trHeight w:val="480" w:hRule="atLeast"/>
        </w:trPr>
        <w:tc>
          <w:tcPr>
            <w:tcW w:w="1936" w:type="dxa"/>
            <w:tcBorders>
              <w:top w:val="single" w:color="000000" w:sz="2" w:space="0"/>
            </w:tcBorders>
            <w:noWrap w:val="0"/>
            <w:vAlign w:val="top"/>
          </w:tcPr>
          <w:p w14:paraId="5A03F36C">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8026" w:type="dxa"/>
            <w:gridSpan w:val="6"/>
            <w:tcBorders>
              <w:top w:val="single" w:color="000000" w:sz="2" w:space="0"/>
            </w:tcBorders>
            <w:noWrap w:val="0"/>
            <w:vAlign w:val="top"/>
          </w:tcPr>
          <w:p w14:paraId="259B8E3C">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A5BCB59">
        <w:trPr>
          <w:trHeight w:val="492" w:hRule="atLeast"/>
        </w:trPr>
        <w:tc>
          <w:tcPr>
            <w:tcW w:w="1936" w:type="dxa"/>
            <w:noWrap w:val="0"/>
            <w:vAlign w:val="top"/>
          </w:tcPr>
          <w:p w14:paraId="222C43A9">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借 款 人</w:t>
            </w:r>
          </w:p>
        </w:tc>
        <w:tc>
          <w:tcPr>
            <w:tcW w:w="8026" w:type="dxa"/>
            <w:gridSpan w:val="6"/>
            <w:noWrap w:val="0"/>
            <w:vAlign w:val="top"/>
          </w:tcPr>
          <w:p w14:paraId="6E7FC82A">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5BFFBD24">
        <w:trPr>
          <w:trHeight w:val="540" w:hRule="atLeast"/>
        </w:trPr>
        <w:tc>
          <w:tcPr>
            <w:tcW w:w="1936" w:type="dxa"/>
            <w:noWrap w:val="0"/>
            <w:vAlign w:val="top"/>
          </w:tcPr>
          <w:p w14:paraId="36922B16">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借款银行</w:t>
            </w:r>
          </w:p>
        </w:tc>
        <w:tc>
          <w:tcPr>
            <w:tcW w:w="8026" w:type="dxa"/>
            <w:gridSpan w:val="6"/>
            <w:noWrap w:val="0"/>
            <w:vAlign w:val="top"/>
          </w:tcPr>
          <w:p w14:paraId="070B9547">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17A6FB88">
        <w:trPr>
          <w:trHeight w:val="480" w:hRule="atLeast"/>
        </w:trPr>
        <w:tc>
          <w:tcPr>
            <w:tcW w:w="1936" w:type="dxa"/>
            <w:noWrap w:val="0"/>
            <w:vAlign w:val="top"/>
          </w:tcPr>
          <w:p w14:paraId="314C8F1B">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 同 号</w:t>
            </w:r>
          </w:p>
        </w:tc>
        <w:tc>
          <w:tcPr>
            <w:tcW w:w="8026" w:type="dxa"/>
            <w:gridSpan w:val="6"/>
            <w:noWrap w:val="0"/>
            <w:vAlign w:val="top"/>
          </w:tcPr>
          <w:p w14:paraId="2CE2DA1D">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3BD74CF">
        <w:trPr>
          <w:trHeight w:val="570" w:hRule="atLeast"/>
        </w:trPr>
        <w:tc>
          <w:tcPr>
            <w:tcW w:w="9962" w:type="dxa"/>
            <w:gridSpan w:val="7"/>
            <w:noWrap w:val="0"/>
            <w:vAlign w:val="center"/>
          </w:tcPr>
          <w:p w14:paraId="337FFC35">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合同执行情况</w:t>
            </w:r>
          </w:p>
        </w:tc>
      </w:tr>
      <w:tr w14:paraId="187D1E01">
        <w:trPr>
          <w:trHeight w:val="510" w:hRule="atLeast"/>
        </w:trPr>
        <w:tc>
          <w:tcPr>
            <w:tcW w:w="1936" w:type="dxa"/>
            <w:noWrap w:val="0"/>
            <w:vAlign w:val="top"/>
          </w:tcPr>
          <w:p w14:paraId="1A8279DA">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借款用途</w:t>
            </w:r>
          </w:p>
        </w:tc>
        <w:tc>
          <w:tcPr>
            <w:tcW w:w="8026" w:type="dxa"/>
            <w:gridSpan w:val="6"/>
            <w:noWrap w:val="0"/>
            <w:vAlign w:val="top"/>
          </w:tcPr>
          <w:p w14:paraId="13E3154B">
            <w:pPr>
              <w:spacing w:line="560" w:lineRule="exact"/>
              <w:rPr>
                <w:rFonts w:hint="eastAsia" w:ascii="仿宋_GB2312" w:hAnsi="仿宋_GB2312" w:eastAsia="仿宋_GB2312" w:cs="仿宋_GB2312"/>
                <w:sz w:val="28"/>
                <w:szCs w:val="28"/>
              </w:rPr>
            </w:pPr>
          </w:p>
        </w:tc>
      </w:tr>
      <w:tr w14:paraId="55193176">
        <w:trPr>
          <w:trHeight w:val="444" w:hRule="atLeast"/>
        </w:trPr>
        <w:tc>
          <w:tcPr>
            <w:tcW w:w="1936" w:type="dxa"/>
            <w:vMerge w:val="restart"/>
            <w:noWrap w:val="0"/>
            <w:vAlign w:val="top"/>
          </w:tcPr>
          <w:p w14:paraId="1A032CAC">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提款</w:t>
            </w:r>
            <w:r>
              <w:rPr>
                <w:rFonts w:hint="eastAsia" w:ascii="仿宋_GB2312" w:hAnsi="仿宋_GB2312" w:eastAsia="仿宋_GB2312" w:cs="仿宋_GB2312"/>
                <w:sz w:val="28"/>
                <w:szCs w:val="28"/>
                <w:lang w:val="en-US" w:eastAsia="zh-CN"/>
              </w:rPr>
              <w:t>到位情况</w:t>
            </w:r>
          </w:p>
        </w:tc>
        <w:tc>
          <w:tcPr>
            <w:tcW w:w="1252" w:type="dxa"/>
            <w:noWrap w:val="0"/>
            <w:vAlign w:val="top"/>
          </w:tcPr>
          <w:p w14:paraId="5060A6CE">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时间</w:t>
            </w:r>
          </w:p>
        </w:tc>
        <w:tc>
          <w:tcPr>
            <w:tcW w:w="1819" w:type="dxa"/>
            <w:noWrap w:val="0"/>
            <w:vAlign w:val="top"/>
          </w:tcPr>
          <w:p w14:paraId="2F176ABC">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金额 （万元）</w:t>
            </w:r>
          </w:p>
        </w:tc>
        <w:tc>
          <w:tcPr>
            <w:tcW w:w="1935" w:type="dxa"/>
            <w:vMerge w:val="restart"/>
            <w:noWrap w:val="0"/>
            <w:vAlign w:val="top"/>
          </w:tcPr>
          <w:p w14:paraId="67EF69CE">
            <w:pPr>
              <w:spacing w:line="560" w:lineRule="exac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还本情况</w:t>
            </w:r>
          </w:p>
        </w:tc>
        <w:tc>
          <w:tcPr>
            <w:tcW w:w="1197" w:type="dxa"/>
            <w:noWrap w:val="0"/>
            <w:vAlign w:val="top"/>
          </w:tcPr>
          <w:p w14:paraId="509B056B">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时间</w:t>
            </w:r>
          </w:p>
        </w:tc>
        <w:tc>
          <w:tcPr>
            <w:tcW w:w="1823" w:type="dxa"/>
            <w:gridSpan w:val="2"/>
            <w:noWrap w:val="0"/>
            <w:vAlign w:val="top"/>
          </w:tcPr>
          <w:p w14:paraId="56B33812">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金额（万元）</w:t>
            </w:r>
          </w:p>
        </w:tc>
      </w:tr>
      <w:tr w14:paraId="40F3AAA5">
        <w:trPr>
          <w:trHeight w:val="432" w:hRule="atLeast"/>
        </w:trPr>
        <w:tc>
          <w:tcPr>
            <w:tcW w:w="1936" w:type="dxa"/>
            <w:vMerge w:val="continue"/>
            <w:noWrap w:val="0"/>
            <w:vAlign w:val="top"/>
          </w:tcPr>
          <w:p w14:paraId="64D4E0B3">
            <w:pPr>
              <w:spacing w:line="560" w:lineRule="exact"/>
              <w:rPr>
                <w:rFonts w:hint="eastAsia" w:ascii="仿宋_GB2312" w:hAnsi="仿宋_GB2312" w:eastAsia="仿宋_GB2312" w:cs="仿宋_GB2312"/>
                <w:sz w:val="28"/>
                <w:szCs w:val="28"/>
              </w:rPr>
            </w:pPr>
          </w:p>
        </w:tc>
        <w:tc>
          <w:tcPr>
            <w:tcW w:w="1252" w:type="dxa"/>
            <w:noWrap w:val="0"/>
            <w:vAlign w:val="top"/>
          </w:tcPr>
          <w:p w14:paraId="60AB178B">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819" w:type="dxa"/>
            <w:noWrap w:val="0"/>
            <w:vAlign w:val="top"/>
          </w:tcPr>
          <w:p w14:paraId="53EF061C">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935" w:type="dxa"/>
            <w:vMerge w:val="continue"/>
            <w:noWrap w:val="0"/>
            <w:vAlign w:val="top"/>
          </w:tcPr>
          <w:p w14:paraId="12F44630">
            <w:pPr>
              <w:spacing w:line="560" w:lineRule="exact"/>
              <w:rPr>
                <w:rFonts w:hint="eastAsia" w:ascii="仿宋_GB2312" w:hAnsi="仿宋_GB2312" w:eastAsia="仿宋_GB2312" w:cs="仿宋_GB2312"/>
                <w:sz w:val="28"/>
                <w:szCs w:val="28"/>
              </w:rPr>
            </w:pPr>
          </w:p>
        </w:tc>
        <w:tc>
          <w:tcPr>
            <w:tcW w:w="1197" w:type="dxa"/>
            <w:noWrap w:val="0"/>
            <w:vAlign w:val="top"/>
          </w:tcPr>
          <w:p w14:paraId="08004B9B">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823" w:type="dxa"/>
            <w:gridSpan w:val="2"/>
            <w:noWrap w:val="0"/>
            <w:vAlign w:val="top"/>
          </w:tcPr>
          <w:p w14:paraId="1A46631B">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5A1E8C7E">
        <w:trPr>
          <w:trHeight w:val="240" w:hRule="atLeast"/>
        </w:trPr>
        <w:tc>
          <w:tcPr>
            <w:tcW w:w="1936" w:type="dxa"/>
            <w:vMerge w:val="continue"/>
            <w:noWrap w:val="0"/>
            <w:vAlign w:val="top"/>
          </w:tcPr>
          <w:p w14:paraId="4C809A58">
            <w:pPr>
              <w:spacing w:line="560" w:lineRule="exact"/>
              <w:rPr>
                <w:rFonts w:hint="eastAsia" w:ascii="仿宋_GB2312" w:hAnsi="仿宋_GB2312" w:eastAsia="仿宋_GB2312" w:cs="仿宋_GB2312"/>
                <w:sz w:val="28"/>
                <w:szCs w:val="28"/>
              </w:rPr>
            </w:pPr>
          </w:p>
        </w:tc>
        <w:tc>
          <w:tcPr>
            <w:tcW w:w="1252" w:type="dxa"/>
            <w:noWrap w:val="0"/>
            <w:vAlign w:val="top"/>
          </w:tcPr>
          <w:p w14:paraId="1AF58CCA">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819" w:type="dxa"/>
            <w:noWrap w:val="0"/>
            <w:vAlign w:val="top"/>
          </w:tcPr>
          <w:p w14:paraId="7C2C5ED3">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935" w:type="dxa"/>
            <w:vMerge w:val="continue"/>
            <w:noWrap w:val="0"/>
            <w:vAlign w:val="top"/>
          </w:tcPr>
          <w:p w14:paraId="176B9BF2">
            <w:pPr>
              <w:spacing w:line="560" w:lineRule="exact"/>
              <w:rPr>
                <w:rFonts w:hint="eastAsia" w:ascii="仿宋_GB2312" w:hAnsi="仿宋_GB2312" w:eastAsia="仿宋_GB2312" w:cs="仿宋_GB2312"/>
                <w:sz w:val="28"/>
                <w:szCs w:val="28"/>
              </w:rPr>
            </w:pPr>
          </w:p>
        </w:tc>
        <w:tc>
          <w:tcPr>
            <w:tcW w:w="1197" w:type="dxa"/>
            <w:noWrap w:val="0"/>
            <w:vAlign w:val="top"/>
          </w:tcPr>
          <w:p w14:paraId="6B69D23C">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823" w:type="dxa"/>
            <w:gridSpan w:val="2"/>
            <w:noWrap w:val="0"/>
            <w:vAlign w:val="top"/>
          </w:tcPr>
          <w:p w14:paraId="6CA3B2D4">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17BC82B">
        <w:trPr>
          <w:trHeight w:val="435" w:hRule="atLeast"/>
        </w:trPr>
        <w:tc>
          <w:tcPr>
            <w:tcW w:w="1936" w:type="dxa"/>
            <w:vMerge w:val="continue"/>
            <w:noWrap w:val="0"/>
            <w:vAlign w:val="top"/>
          </w:tcPr>
          <w:p w14:paraId="5666F71E">
            <w:pPr>
              <w:spacing w:line="560" w:lineRule="exact"/>
              <w:rPr>
                <w:rFonts w:hint="eastAsia" w:ascii="仿宋_GB2312" w:hAnsi="仿宋_GB2312" w:eastAsia="仿宋_GB2312" w:cs="仿宋_GB2312"/>
                <w:sz w:val="28"/>
                <w:szCs w:val="28"/>
              </w:rPr>
            </w:pPr>
          </w:p>
        </w:tc>
        <w:tc>
          <w:tcPr>
            <w:tcW w:w="1252" w:type="dxa"/>
            <w:noWrap w:val="0"/>
            <w:vAlign w:val="top"/>
          </w:tcPr>
          <w:p w14:paraId="100FABF3">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819" w:type="dxa"/>
            <w:noWrap w:val="0"/>
            <w:vAlign w:val="top"/>
          </w:tcPr>
          <w:p w14:paraId="0AB63258">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935" w:type="dxa"/>
            <w:vMerge w:val="continue"/>
            <w:noWrap w:val="0"/>
            <w:vAlign w:val="top"/>
          </w:tcPr>
          <w:p w14:paraId="4D4516AD">
            <w:pPr>
              <w:spacing w:line="560" w:lineRule="exact"/>
              <w:rPr>
                <w:rFonts w:hint="eastAsia" w:ascii="仿宋_GB2312" w:hAnsi="仿宋_GB2312" w:eastAsia="仿宋_GB2312" w:cs="仿宋_GB2312"/>
                <w:sz w:val="28"/>
                <w:szCs w:val="28"/>
              </w:rPr>
            </w:pPr>
          </w:p>
        </w:tc>
        <w:tc>
          <w:tcPr>
            <w:tcW w:w="1197" w:type="dxa"/>
            <w:noWrap w:val="0"/>
            <w:vAlign w:val="top"/>
          </w:tcPr>
          <w:p w14:paraId="7B1E94F0">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823" w:type="dxa"/>
            <w:gridSpan w:val="2"/>
            <w:noWrap w:val="0"/>
            <w:vAlign w:val="top"/>
          </w:tcPr>
          <w:p w14:paraId="533178FE">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23FAAAAB">
        <w:trPr>
          <w:trHeight w:val="495" w:hRule="atLeast"/>
        </w:trPr>
        <w:tc>
          <w:tcPr>
            <w:tcW w:w="1936" w:type="dxa"/>
            <w:vMerge w:val="continue"/>
            <w:noWrap w:val="0"/>
            <w:vAlign w:val="top"/>
          </w:tcPr>
          <w:p w14:paraId="2FCE24AD">
            <w:pPr>
              <w:spacing w:line="560" w:lineRule="exact"/>
              <w:rPr>
                <w:rFonts w:hint="eastAsia" w:ascii="仿宋_GB2312" w:hAnsi="仿宋_GB2312" w:eastAsia="仿宋_GB2312" w:cs="仿宋_GB2312"/>
                <w:sz w:val="28"/>
                <w:szCs w:val="28"/>
              </w:rPr>
            </w:pPr>
          </w:p>
        </w:tc>
        <w:tc>
          <w:tcPr>
            <w:tcW w:w="1252" w:type="dxa"/>
            <w:noWrap w:val="0"/>
            <w:vAlign w:val="top"/>
          </w:tcPr>
          <w:p w14:paraId="4AA40606">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819" w:type="dxa"/>
            <w:noWrap w:val="0"/>
            <w:vAlign w:val="top"/>
          </w:tcPr>
          <w:p w14:paraId="2949A60B">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935" w:type="dxa"/>
            <w:vMerge w:val="continue"/>
            <w:noWrap w:val="0"/>
            <w:vAlign w:val="top"/>
          </w:tcPr>
          <w:p w14:paraId="5B9C1202">
            <w:pPr>
              <w:spacing w:line="560" w:lineRule="exact"/>
              <w:rPr>
                <w:rFonts w:hint="eastAsia" w:ascii="仿宋_GB2312" w:hAnsi="仿宋_GB2312" w:eastAsia="仿宋_GB2312" w:cs="仿宋_GB2312"/>
                <w:sz w:val="28"/>
                <w:szCs w:val="28"/>
              </w:rPr>
            </w:pPr>
          </w:p>
        </w:tc>
        <w:tc>
          <w:tcPr>
            <w:tcW w:w="1197" w:type="dxa"/>
            <w:noWrap w:val="0"/>
            <w:vAlign w:val="top"/>
          </w:tcPr>
          <w:p w14:paraId="0918F616">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823" w:type="dxa"/>
            <w:gridSpan w:val="2"/>
            <w:noWrap w:val="0"/>
            <w:vAlign w:val="top"/>
          </w:tcPr>
          <w:p w14:paraId="6B588144">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3FA35CD">
        <w:trPr>
          <w:trHeight w:val="444" w:hRule="atLeast"/>
        </w:trPr>
        <w:tc>
          <w:tcPr>
            <w:tcW w:w="1936" w:type="dxa"/>
            <w:noWrap w:val="0"/>
            <w:vAlign w:val="top"/>
          </w:tcPr>
          <w:p w14:paraId="6972E63E">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年利率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p>
        </w:tc>
        <w:tc>
          <w:tcPr>
            <w:tcW w:w="3071" w:type="dxa"/>
            <w:gridSpan w:val="2"/>
            <w:noWrap w:val="0"/>
            <w:vAlign w:val="top"/>
          </w:tcPr>
          <w:p w14:paraId="013E0371">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935" w:type="dxa"/>
            <w:noWrap w:val="0"/>
            <w:vAlign w:val="top"/>
          </w:tcPr>
          <w:p w14:paraId="6D586938">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实际年利率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p>
        </w:tc>
        <w:tc>
          <w:tcPr>
            <w:tcW w:w="3020" w:type="dxa"/>
            <w:gridSpan w:val="3"/>
            <w:noWrap w:val="0"/>
            <w:vAlign w:val="top"/>
          </w:tcPr>
          <w:p w14:paraId="1C678460">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63DC1FBF">
        <w:trPr>
          <w:trHeight w:val="519" w:hRule="atLeast"/>
        </w:trPr>
        <w:tc>
          <w:tcPr>
            <w:tcW w:w="1936" w:type="dxa"/>
            <w:noWrap w:val="0"/>
            <w:vAlign w:val="top"/>
          </w:tcPr>
          <w:p w14:paraId="31B70D7A">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借款时间</w:t>
            </w:r>
          </w:p>
        </w:tc>
        <w:tc>
          <w:tcPr>
            <w:tcW w:w="3071" w:type="dxa"/>
            <w:gridSpan w:val="2"/>
            <w:noWrap w:val="0"/>
            <w:vAlign w:val="top"/>
          </w:tcPr>
          <w:p w14:paraId="7345647F">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935" w:type="dxa"/>
            <w:noWrap w:val="0"/>
            <w:vAlign w:val="top"/>
          </w:tcPr>
          <w:p w14:paraId="525FEA6A">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应付利息</w:t>
            </w:r>
          </w:p>
        </w:tc>
        <w:tc>
          <w:tcPr>
            <w:tcW w:w="3020" w:type="dxa"/>
            <w:gridSpan w:val="3"/>
            <w:noWrap w:val="0"/>
            <w:vAlign w:val="top"/>
          </w:tcPr>
          <w:p w14:paraId="3C7D73D7">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747FAEBB">
        <w:trPr>
          <w:trHeight w:val="390" w:hRule="atLeast"/>
        </w:trPr>
        <w:tc>
          <w:tcPr>
            <w:tcW w:w="1936" w:type="dxa"/>
            <w:noWrap w:val="0"/>
            <w:vAlign w:val="top"/>
          </w:tcPr>
          <w:p w14:paraId="4493948E">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期限</w:t>
            </w:r>
          </w:p>
        </w:tc>
        <w:tc>
          <w:tcPr>
            <w:tcW w:w="3071" w:type="dxa"/>
            <w:gridSpan w:val="2"/>
            <w:noWrap w:val="0"/>
            <w:vAlign w:val="top"/>
          </w:tcPr>
          <w:p w14:paraId="59EF894D">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1935" w:type="dxa"/>
            <w:noWrap w:val="0"/>
            <w:vAlign w:val="top"/>
          </w:tcPr>
          <w:p w14:paraId="1F69597C">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已付利息</w:t>
            </w:r>
          </w:p>
        </w:tc>
        <w:tc>
          <w:tcPr>
            <w:tcW w:w="3020" w:type="dxa"/>
            <w:gridSpan w:val="3"/>
            <w:noWrap w:val="0"/>
            <w:vAlign w:val="top"/>
          </w:tcPr>
          <w:p w14:paraId="78924D05">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r>
      <w:tr w14:paraId="0E50221E">
        <w:trPr>
          <w:trHeight w:val="90" w:hRule="atLeast"/>
        </w:trPr>
        <w:tc>
          <w:tcPr>
            <w:tcW w:w="6942" w:type="dxa"/>
            <w:gridSpan w:val="4"/>
            <w:noWrap w:val="0"/>
            <w:vAlign w:val="top"/>
          </w:tcPr>
          <w:p w14:paraId="6574AFF5">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*每个合同填一张表　　　　　　　　　　　　   　　　　　　</w:t>
            </w:r>
          </w:p>
          <w:p w14:paraId="5B7A043F">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tc>
        <w:tc>
          <w:tcPr>
            <w:tcW w:w="3020" w:type="dxa"/>
            <w:gridSpan w:val="3"/>
            <w:noWrap w:val="0"/>
            <w:vAlign w:val="top"/>
          </w:tcPr>
          <w:p w14:paraId="58EE4FC1">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tc>
      </w:tr>
      <w:tr w14:paraId="585C76CD">
        <w:trPr>
          <w:gridAfter w:val="1"/>
          <w:wAfter w:w="499" w:type="dxa"/>
          <w:cantSplit/>
          <w:trHeight w:val="90" w:hRule="atLeast"/>
          <w:jc w:val="center"/>
        </w:trPr>
        <w:tc>
          <w:tcPr>
            <w:tcW w:w="9463" w:type="dxa"/>
            <w:gridSpan w:val="6"/>
            <w:tcBorders>
              <w:top w:val="nil"/>
              <w:left w:val="nil"/>
              <w:bottom w:val="single" w:color="auto" w:sz="4" w:space="0"/>
              <w:right w:val="nil"/>
            </w:tcBorders>
            <w:vAlign w:val="top"/>
          </w:tcPr>
          <w:p w14:paraId="791AB550">
            <w:pPr>
              <w:pStyle w:val="2"/>
              <w:jc w:val="center"/>
              <w:rPr>
                <w:rFonts w:hint="eastAsia" w:ascii="仿宋_GB2312" w:hAnsi="仿宋_GB2312" w:eastAsia="仿宋_GB2312" w:cs="仿宋_GB2312"/>
                <w:sz w:val="24"/>
                <w:szCs w:val="24"/>
                <w:lang w:val="en-US" w:eastAsia="zh-CN"/>
              </w:rPr>
            </w:pPr>
            <w:r>
              <w:rPr>
                <w:rFonts w:hint="eastAsia" w:ascii="黑体" w:hAnsi="黑体" w:eastAsia="黑体"/>
                <w:sz w:val="32"/>
                <w:szCs w:val="32"/>
                <w:highlight w:val="none"/>
              </w:rPr>
              <w:t>提供材料清单</w:t>
            </w:r>
          </w:p>
        </w:tc>
      </w:tr>
      <w:tr w14:paraId="39808E87">
        <w:trPr>
          <w:gridAfter w:val="1"/>
          <w:wAfter w:w="499" w:type="dxa"/>
          <w:cantSplit/>
          <w:trHeight w:val="12811" w:hRule="atLeast"/>
          <w:jc w:val="center"/>
        </w:trPr>
        <w:tc>
          <w:tcPr>
            <w:tcW w:w="9463" w:type="dxa"/>
            <w:gridSpan w:val="6"/>
            <w:tcBorders>
              <w:top w:val="single" w:color="auto" w:sz="4" w:space="0"/>
            </w:tcBorders>
            <w:vAlign w:val="top"/>
          </w:tcPr>
          <w:p w14:paraId="5234A784">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1CA5A15D">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2.并购协议、交易凭证复印件；</w:t>
            </w:r>
          </w:p>
          <w:p w14:paraId="1418F6C5">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3.并购贷款合同、资金到位证明复印件；</w:t>
            </w:r>
          </w:p>
          <w:p w14:paraId="621B961F">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4.利息支付凭证复印件；</w:t>
            </w:r>
          </w:p>
          <w:p w14:paraId="5E9CBE89">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5.企业在怀柔区、密云区实体经营证明材料，包括但不限于租赁协议、明确经营地址的孵化协议等。</w:t>
            </w:r>
          </w:p>
          <w:p w14:paraId="14058F37">
            <w:pPr>
              <w:keepNext w:val="0"/>
              <w:keepLines w:val="0"/>
              <w:pageBreakBefore w:val="0"/>
              <w:widowControl w:val="0"/>
              <w:kinsoku/>
              <w:wordWrap/>
              <w:overflowPunct/>
              <w:topLinePunct w:val="0"/>
              <w:autoSpaceDE/>
              <w:autoSpaceDN/>
              <w:bidi w:val="0"/>
              <w:adjustRightInd/>
              <w:snapToGrid/>
              <w:spacing w:after="0" w:line="520" w:lineRule="exact"/>
              <w:ind w:firstLine="420" w:firstLineChars="200"/>
              <w:textAlignment w:val="auto"/>
              <w:rPr>
                <w:rFonts w:hint="default"/>
                <w:lang w:val="en-US" w:eastAsia="zh-CN"/>
              </w:rPr>
            </w:pPr>
          </w:p>
        </w:tc>
      </w:tr>
    </w:tbl>
    <w:p w14:paraId="7F84CDE2">
      <w:pPr>
        <w:rPr>
          <w:rFonts w:hint="eastAsia"/>
        </w:rPr>
        <w:sectPr>
          <w:pgSz w:w="11906" w:h="16838"/>
          <w:pgMar w:top="1440" w:right="1080" w:bottom="1440" w:left="1080" w:header="851" w:footer="992" w:gutter="0"/>
          <w:lnNumType w:countBy="0" w:restart="continuous"/>
          <w:pgNumType w:fmt="decimal"/>
          <w:cols w:space="425" w:num="1"/>
          <w:docGrid w:type="lines" w:linePitch="312" w:charSpace="0"/>
        </w:sectPr>
      </w:pPr>
    </w:p>
    <w:p w14:paraId="0BD248DF">
      <w:pPr>
        <w:rPr>
          <w:rFonts w:hint="eastAsia"/>
        </w:rPr>
      </w:pPr>
    </w:p>
    <w:p w14:paraId="4A8408BC">
      <w:pPr>
        <w:pStyle w:val="2"/>
        <w:jc w:val="center"/>
        <w:rPr>
          <w:rFonts w:ascii="黑体" w:hAnsi="黑体" w:eastAsia="黑体"/>
          <w:highlight w:val="none"/>
        </w:rPr>
      </w:pPr>
      <w:r>
        <w:rPr>
          <w:rFonts w:hint="eastAsia" w:ascii="黑体" w:hAnsi="黑体" w:eastAsia="黑体"/>
          <w:highlight w:val="none"/>
        </w:rPr>
        <w:t>承诺书</w:t>
      </w:r>
    </w:p>
    <w:p w14:paraId="7250CCC4">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符合《支持企业开展产业并购重组申报指南》中对应全部要求，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6BA7AA64">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6B9A0EA2">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50FDCB79">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047D5550">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41A71A8D">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C867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7D92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F7D921">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E0BD">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187F0C">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2187F0C">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ECDE4">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D9B34">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E0D9B34">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1D97349"/>
    <w:rsid w:val="02EA1D18"/>
    <w:rsid w:val="0372290F"/>
    <w:rsid w:val="059E5BB7"/>
    <w:rsid w:val="0A3B1217"/>
    <w:rsid w:val="0C85026F"/>
    <w:rsid w:val="0E837057"/>
    <w:rsid w:val="0F445F65"/>
    <w:rsid w:val="0FFC75B2"/>
    <w:rsid w:val="1318105A"/>
    <w:rsid w:val="15A1074E"/>
    <w:rsid w:val="16B160D9"/>
    <w:rsid w:val="173353B1"/>
    <w:rsid w:val="1A936930"/>
    <w:rsid w:val="1C3C6787"/>
    <w:rsid w:val="22A91108"/>
    <w:rsid w:val="25FD203A"/>
    <w:rsid w:val="2A4C0F9B"/>
    <w:rsid w:val="2DDB1E77"/>
    <w:rsid w:val="2E384444"/>
    <w:rsid w:val="2F4E3955"/>
    <w:rsid w:val="3803781A"/>
    <w:rsid w:val="38320B0C"/>
    <w:rsid w:val="396C721B"/>
    <w:rsid w:val="3A5251FC"/>
    <w:rsid w:val="3B185DF9"/>
    <w:rsid w:val="3B3D21BD"/>
    <w:rsid w:val="3CD16D78"/>
    <w:rsid w:val="3FA34F66"/>
    <w:rsid w:val="41D35687"/>
    <w:rsid w:val="433240FD"/>
    <w:rsid w:val="4677723B"/>
    <w:rsid w:val="4A61288A"/>
    <w:rsid w:val="4AA65A15"/>
    <w:rsid w:val="4CAF66C9"/>
    <w:rsid w:val="4E6449A0"/>
    <w:rsid w:val="4F4D5734"/>
    <w:rsid w:val="5410763C"/>
    <w:rsid w:val="54AB2F5C"/>
    <w:rsid w:val="55F36457"/>
    <w:rsid w:val="595E5523"/>
    <w:rsid w:val="5CEB9F95"/>
    <w:rsid w:val="5D643A35"/>
    <w:rsid w:val="608856D6"/>
    <w:rsid w:val="628917B3"/>
    <w:rsid w:val="637364A9"/>
    <w:rsid w:val="65961074"/>
    <w:rsid w:val="65C75C3B"/>
    <w:rsid w:val="6C2A1F27"/>
    <w:rsid w:val="6EDF58FC"/>
    <w:rsid w:val="6F3F3D12"/>
    <w:rsid w:val="74962827"/>
    <w:rsid w:val="76917E1D"/>
    <w:rsid w:val="77BF7D6C"/>
    <w:rsid w:val="781E195C"/>
    <w:rsid w:val="791519E3"/>
    <w:rsid w:val="7CE1045D"/>
    <w:rsid w:val="7F49223D"/>
    <w:rsid w:val="8573CED3"/>
    <w:rsid w:val="F18C8C63"/>
    <w:rsid w:val="FB8FF609"/>
    <w:rsid w:val="FFFB8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1079</Words>
  <Characters>1142</Characters>
  <Lines>0</Lines>
  <Paragraphs>0</Paragraphs>
  <TotalTime>0</TotalTime>
  <ScaleCrop>false</ScaleCrop>
  <LinksUpToDate>false</LinksUpToDate>
  <CharactersWithSpaces>1303</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2025-08-21T15:51:00Z</dcterms:created>
  <dc:creator>张晓宇</dc:creator>
  <cp:lastModifiedBy>孙子涵</cp:lastModifiedBy>
  <dcterms:modified xsi:type="dcterms:W3CDTF">2026-10-09T12:55:39Z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KSOTemplateDocerSaveRecord">
    <vt:lpwstr>eyJoZGlkIjoiMTYzMTg0NDk3ODM1OGVmNWE4ZTQzZTNlNDgwYjk4MDQiLCJ1c2VySWQiOiIxNjA0MDQxNzEzIn0=</vt:lpwstr>
  </property>
  <property fmtid="{D5CDD505-2E9C-101B-9397-08002B2CF9AE}" pid="4" name="ICV">
    <vt:lpwstr>3A96769FE79341B7B88FFCF6CCDB37D7_12</vt:lpwstr>
  </property>
</Properties>
</file>