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0" w:firstLineChars="0"/>
        <w:jc w:val="center"/>
        <w:rPr>
          <w:rFonts w:ascii="黑体" w:eastAsia="黑体"/>
          <w:sz w:val="44"/>
          <w:szCs w:val="44"/>
          <w:highlight w:val="none"/>
        </w:rPr>
      </w:pPr>
      <w:r>
        <w:rPr>
          <w:rFonts w:hint="eastAsia" w:ascii="黑体" w:eastAsia="黑体"/>
          <w:sz w:val="44"/>
          <w:szCs w:val="44"/>
          <w:highlight w:val="none"/>
        </w:rPr>
        <w:t>北京怀柔科学城管理委员会北京怀柔综合性国家科学中心交叉研究平台运行经费补助</w:t>
      </w:r>
      <w:r>
        <w:rPr>
          <w:rFonts w:hint="eastAsia" w:ascii="黑体" w:eastAsia="黑体"/>
          <w:sz w:val="44"/>
          <w:szCs w:val="44"/>
          <w:highlight w:val="none"/>
          <w:lang w:val="en-US" w:eastAsia="zh-CN"/>
        </w:rPr>
        <w:t>2024年</w:t>
      </w:r>
      <w:r>
        <w:rPr>
          <w:rFonts w:hint="eastAsia" w:ascii="黑体" w:eastAsia="黑体"/>
          <w:sz w:val="44"/>
          <w:szCs w:val="44"/>
          <w:highlight w:val="none"/>
        </w:rPr>
        <w:t>项目支出绩效评价报告</w:t>
      </w:r>
    </w:p>
    <w:p>
      <w:pPr>
        <w:spacing w:line="580" w:lineRule="exact"/>
        <w:ind w:firstLine="643" w:firstLineChars="200"/>
        <w:rPr>
          <w:rFonts w:hint="eastAsia" w:ascii="仿宋_GB2312" w:hAnsi="仿宋_GB2312" w:eastAsia="仿宋_GB2312" w:cs="仿宋_GB2312"/>
          <w:b/>
          <w:sz w:val="32"/>
          <w:szCs w:val="32"/>
          <w:highlight w:val="none"/>
        </w:rPr>
      </w:pPr>
    </w:p>
    <w:p>
      <w:pPr>
        <w:spacing w:line="580" w:lineRule="exact"/>
        <w:ind w:firstLine="643" w:firstLineChars="200"/>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一、基本情况</w:t>
      </w:r>
    </w:p>
    <w:p>
      <w:pPr>
        <w:spacing w:line="580" w:lineRule="exact"/>
        <w:ind w:firstLine="643" w:firstLineChars="200"/>
        <w:outlineLvl w:val="0"/>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（一）项目概况</w:t>
      </w:r>
    </w:p>
    <w:p>
      <w:pPr>
        <w:spacing w:line="360" w:lineRule="auto"/>
        <w:ind w:firstLine="643" w:firstLineChars="200"/>
        <w:contextualSpacing/>
        <w:rPr>
          <w:rFonts w:ascii="仿宋_GB2312" w:eastAsia="仿宋_GB2312"/>
          <w:b/>
          <w:sz w:val="32"/>
          <w:szCs w:val="32"/>
          <w:highlight w:val="none"/>
        </w:rPr>
      </w:pPr>
      <w:r>
        <w:rPr>
          <w:rFonts w:hint="eastAsia" w:ascii="仿宋_GB2312" w:eastAsia="仿宋_GB2312" w:cs="仿宋_GB2312"/>
          <w:b/>
          <w:bCs/>
          <w:sz w:val="32"/>
          <w:szCs w:val="32"/>
          <w:highlight w:val="none"/>
        </w:rPr>
        <w:t>1.</w:t>
      </w:r>
      <w:r>
        <w:rPr>
          <w:rFonts w:hint="eastAsia" w:ascii="仿宋_GB2312" w:eastAsia="仿宋_GB2312"/>
          <w:b/>
          <w:sz w:val="32"/>
          <w:szCs w:val="32"/>
          <w:highlight w:val="none"/>
        </w:rPr>
        <w:t>项目名称</w:t>
      </w:r>
    </w:p>
    <w:p>
      <w:pPr>
        <w:spacing w:line="360" w:lineRule="auto"/>
        <w:ind w:firstLine="640" w:firstLineChars="200"/>
        <w:contextualSpacing/>
        <w:rPr>
          <w:rFonts w:ascii="仿宋_GB2312" w:eastAsia="仿宋_GB2312"/>
          <w:sz w:val="32"/>
          <w:szCs w:val="32"/>
          <w:highlight w:val="none"/>
        </w:rPr>
      </w:pPr>
      <w:r>
        <w:rPr>
          <w:rFonts w:hint="eastAsia" w:ascii="仿宋_GB2312" w:eastAsia="仿宋_GB2312"/>
          <w:sz w:val="32"/>
          <w:szCs w:val="32"/>
          <w:highlight w:val="none"/>
        </w:rPr>
        <w:t>北京怀柔综合性国家科学中心交叉研究平台运行经费补助。</w:t>
      </w:r>
    </w:p>
    <w:p>
      <w:pPr>
        <w:spacing w:line="360" w:lineRule="auto"/>
        <w:ind w:firstLine="643" w:firstLineChars="200"/>
        <w:contextualSpacing/>
        <w:rPr>
          <w:rFonts w:ascii="仿宋_GB2312" w:eastAsia="仿宋_GB2312"/>
          <w:b/>
          <w:sz w:val="32"/>
          <w:szCs w:val="32"/>
          <w:highlight w:val="none"/>
        </w:rPr>
      </w:pPr>
      <w:r>
        <w:rPr>
          <w:rFonts w:hint="eastAsia" w:ascii="仿宋_GB2312" w:eastAsia="仿宋_GB2312"/>
          <w:b/>
          <w:sz w:val="32"/>
          <w:szCs w:val="32"/>
          <w:highlight w:val="none"/>
        </w:rPr>
        <w:t>2.实施主体</w:t>
      </w:r>
    </w:p>
    <w:p>
      <w:pPr>
        <w:spacing w:line="360" w:lineRule="auto"/>
        <w:ind w:firstLine="640" w:firstLineChars="200"/>
        <w:contextualSpacing/>
        <w:rPr>
          <w:rFonts w:ascii="仿宋_GB2312" w:eastAsia="仿宋_GB2312"/>
          <w:sz w:val="32"/>
          <w:szCs w:val="32"/>
          <w:highlight w:val="none"/>
        </w:rPr>
      </w:pPr>
      <w:r>
        <w:rPr>
          <w:rFonts w:hint="eastAsia" w:ascii="仿宋_GB2312" w:eastAsia="仿宋_GB2312"/>
          <w:sz w:val="32"/>
          <w:szCs w:val="32"/>
          <w:highlight w:val="none"/>
        </w:rPr>
        <w:t>北京怀柔科学城管理委员会（以下简称怀柔科学城管委会）。</w:t>
      </w:r>
    </w:p>
    <w:p>
      <w:pPr>
        <w:spacing w:line="360" w:lineRule="auto"/>
        <w:ind w:firstLine="643" w:firstLineChars="200"/>
        <w:contextualSpacing/>
        <w:rPr>
          <w:rFonts w:ascii="仿宋_GB2312" w:eastAsia="仿宋_GB2312"/>
          <w:b/>
          <w:sz w:val="32"/>
          <w:szCs w:val="32"/>
          <w:highlight w:val="none"/>
        </w:rPr>
      </w:pPr>
      <w:r>
        <w:rPr>
          <w:rFonts w:hint="eastAsia" w:ascii="仿宋_GB2312" w:eastAsia="仿宋_GB2312"/>
          <w:b/>
          <w:sz w:val="32"/>
          <w:szCs w:val="32"/>
          <w:highlight w:val="none"/>
        </w:rPr>
        <w:t>3.项目背景及立项依据</w:t>
      </w:r>
    </w:p>
    <w:p>
      <w:pPr>
        <w:ind w:firstLine="608" w:firstLineChars="200"/>
        <w:rPr>
          <w:rFonts w:hint="eastAsia" w:ascii="仿宋_GB2312" w:hAnsi="仿宋_GB2312" w:eastAsia="仿宋_GB2312" w:cs="仿宋_GB2312"/>
          <w:w w:val="95"/>
          <w:sz w:val="32"/>
          <w:szCs w:val="32"/>
          <w:highlight w:val="none"/>
          <w:lang w:eastAsia="zh-CN"/>
        </w:rPr>
      </w:pPr>
      <w:r>
        <w:rPr>
          <w:rFonts w:hint="eastAsia" w:ascii="仿宋_GB2312" w:hAnsi="仿宋_GB2312" w:eastAsia="仿宋_GB2312" w:cs="仿宋_GB2312"/>
          <w:w w:val="95"/>
          <w:sz w:val="32"/>
          <w:szCs w:val="32"/>
          <w:highlight w:val="none"/>
        </w:rPr>
        <w:t>为推动交叉研究平台高效运行，根据《北京怀柔综合性国家科学中心重大科技研发平台项目管理办法》</w:t>
      </w:r>
      <w:r>
        <w:rPr>
          <w:rFonts w:hint="eastAsia" w:ascii="仿宋_GB2312" w:hAnsi="仿宋_GB2312" w:eastAsia="仿宋_GB2312" w:cs="仿宋_GB2312"/>
          <w:w w:val="95"/>
          <w:sz w:val="32"/>
          <w:szCs w:val="32"/>
          <w:highlight w:val="none"/>
          <w:lang w:eastAsia="zh-CN"/>
        </w:rPr>
        <w:t>、</w:t>
      </w:r>
      <w:r>
        <w:rPr>
          <w:rFonts w:hint="eastAsia" w:ascii="仿宋_GB2312" w:hAnsi="仿宋_GB2312" w:eastAsia="仿宋_GB2312" w:cs="仿宋_GB2312"/>
          <w:w w:val="95"/>
          <w:sz w:val="32"/>
          <w:szCs w:val="32"/>
          <w:highlight w:val="none"/>
        </w:rPr>
        <w:t>《北京怀柔综合性国家科学中心交叉研究平台运行经费支持实施细则（试行）》（以下简称《实施细则》）要求，</w:t>
      </w:r>
      <w:r>
        <w:rPr>
          <w:rFonts w:hint="eastAsia" w:ascii="仿宋_GB2312" w:eastAsia="仿宋_GB2312"/>
          <w:sz w:val="32"/>
          <w:szCs w:val="32"/>
          <w:highlight w:val="none"/>
        </w:rPr>
        <w:t>怀柔科学城管委会</w:t>
      </w:r>
      <w:r>
        <w:rPr>
          <w:rFonts w:hint="eastAsia" w:ascii="仿宋_GB2312" w:hAnsi="仿宋_GB2312" w:eastAsia="仿宋_GB2312" w:cs="仿宋_GB2312"/>
          <w:w w:val="95"/>
          <w:sz w:val="32"/>
          <w:szCs w:val="32"/>
          <w:highlight w:val="none"/>
        </w:rPr>
        <w:t>组织开展交叉研究平台运行经费支持评审</w:t>
      </w:r>
      <w:r>
        <w:rPr>
          <w:rFonts w:hint="eastAsia" w:ascii="仿宋_GB2312" w:hAnsi="仿宋_GB2312" w:eastAsia="仿宋_GB2312" w:cs="仿宋_GB2312"/>
          <w:w w:val="95"/>
          <w:sz w:val="32"/>
          <w:szCs w:val="32"/>
          <w:highlight w:val="none"/>
          <w:lang w:eastAsia="zh-CN"/>
        </w:rPr>
        <w:t>及补助发放工作。</w:t>
      </w:r>
    </w:p>
    <w:p>
      <w:pPr>
        <w:spacing w:line="360" w:lineRule="auto"/>
        <w:ind w:firstLine="643" w:firstLineChars="200"/>
        <w:contextualSpacing/>
        <w:rPr>
          <w:rFonts w:ascii="仿宋_GB2312" w:eastAsia="仿宋_GB2312"/>
          <w:b/>
          <w:sz w:val="32"/>
          <w:szCs w:val="32"/>
          <w:highlight w:val="none"/>
        </w:rPr>
      </w:pPr>
      <w:r>
        <w:rPr>
          <w:rFonts w:hint="eastAsia" w:ascii="仿宋_GB2312" w:eastAsia="仿宋_GB2312"/>
          <w:b/>
          <w:sz w:val="32"/>
          <w:szCs w:val="32"/>
          <w:highlight w:val="none"/>
        </w:rPr>
        <w:t>4.项目单位基本情况</w:t>
      </w:r>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怀柔科学城管委会是市政府派出机构</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怀柔科学城党工委与怀柔科学城管委会合署办公。怀柔科学城党工委、怀柔科学城管委会贯彻落实党中央、</w:t>
      </w:r>
      <w:r>
        <w:rPr>
          <w:rFonts w:hint="eastAsia" w:ascii="仿宋_GB2312" w:eastAsia="仿宋_GB2312"/>
          <w:sz w:val="32"/>
          <w:szCs w:val="32"/>
          <w:highlight w:val="none"/>
          <w:lang w:val="en-US" w:eastAsia="zh-CN"/>
        </w:rPr>
        <w:t>北京</w:t>
      </w:r>
      <w:r>
        <w:rPr>
          <w:rFonts w:hint="eastAsia" w:ascii="仿宋_GB2312" w:eastAsia="仿宋_GB2312"/>
          <w:sz w:val="32"/>
          <w:szCs w:val="32"/>
          <w:highlight w:val="none"/>
        </w:rPr>
        <w:t>市委关于怀柔科学城工作的方针政策、决策部署，在履行职责过程中坚持和加强党对怀柔科学城工作的集中统一领导。</w:t>
      </w:r>
    </w:p>
    <w:p>
      <w:pPr>
        <w:ind w:firstLine="640" w:firstLineChars="200"/>
        <w:rPr>
          <w:rFonts w:ascii="仿宋_GB2312" w:hAnsi="仿宋_GB2312" w:eastAsia="仿宋_GB2312" w:cs="仿宋_GB2312"/>
          <w:w w:val="95"/>
          <w:sz w:val="32"/>
          <w:szCs w:val="32"/>
          <w:highlight w:val="none"/>
        </w:rPr>
      </w:pPr>
      <w:r>
        <w:rPr>
          <w:rFonts w:hint="eastAsia" w:ascii="仿宋_GB2312" w:eastAsia="仿宋_GB2312"/>
          <w:sz w:val="32"/>
          <w:szCs w:val="32"/>
          <w:highlight w:val="none"/>
        </w:rPr>
        <w:t>怀柔科学城管委会内设8个处室，分别为办公室、发展改革与政策研究处、规划建设处、设施平台处、成果转化与创新协调处、交流合作与人才工作处、财经管理处、机关党委（组织人事处）。</w:t>
      </w:r>
    </w:p>
    <w:p>
      <w:pPr>
        <w:spacing w:line="360" w:lineRule="auto"/>
        <w:ind w:firstLine="643" w:firstLineChars="200"/>
        <w:contextualSpacing/>
        <w:rPr>
          <w:rFonts w:ascii="仿宋_GB2312" w:eastAsia="仿宋_GB2312"/>
          <w:b/>
          <w:kern w:val="44"/>
          <w:sz w:val="32"/>
          <w:szCs w:val="32"/>
          <w:highlight w:val="none"/>
        </w:rPr>
      </w:pPr>
      <w:r>
        <w:rPr>
          <w:rFonts w:hint="eastAsia" w:ascii="仿宋_GB2312" w:eastAsia="仿宋_GB2312"/>
          <w:b/>
          <w:kern w:val="44"/>
          <w:sz w:val="32"/>
          <w:szCs w:val="32"/>
          <w:highlight w:val="none"/>
        </w:rPr>
        <w:t>5.主要内容及实施情况</w:t>
      </w:r>
    </w:p>
    <w:p>
      <w:pPr>
        <w:ind w:firstLine="608" w:firstLineChars="200"/>
        <w:rPr>
          <w:rFonts w:hint="eastAsia" w:ascii="仿宋_GB2312" w:eastAsia="仿宋_GB2312"/>
          <w:b/>
          <w:kern w:val="44"/>
          <w:sz w:val="32"/>
          <w:szCs w:val="32"/>
          <w:highlight w:val="none"/>
        </w:rPr>
      </w:pPr>
      <w:r>
        <w:rPr>
          <w:rFonts w:hint="eastAsia" w:ascii="仿宋_GB2312" w:hAnsi="仿宋_GB2312" w:eastAsia="仿宋_GB2312" w:cs="仿宋_GB2312"/>
          <w:w w:val="95"/>
          <w:sz w:val="32"/>
          <w:szCs w:val="32"/>
          <w:highlight w:val="none"/>
        </w:rPr>
        <w:t>该项目为延续项目，202</w:t>
      </w:r>
      <w:r>
        <w:rPr>
          <w:rFonts w:hint="eastAsia" w:ascii="仿宋_GB2312" w:hAnsi="仿宋_GB2312" w:eastAsia="仿宋_GB2312" w:cs="仿宋_GB2312"/>
          <w:w w:val="95"/>
          <w:sz w:val="32"/>
          <w:szCs w:val="32"/>
          <w:highlight w:val="none"/>
          <w:lang w:val="en-US" w:eastAsia="zh-CN"/>
        </w:rPr>
        <w:t>4</w:t>
      </w:r>
      <w:r>
        <w:rPr>
          <w:rFonts w:hint="eastAsia" w:ascii="仿宋_GB2312" w:hAnsi="仿宋_GB2312" w:eastAsia="仿宋_GB2312" w:cs="仿宋_GB2312"/>
          <w:w w:val="95"/>
          <w:sz w:val="32"/>
          <w:szCs w:val="32"/>
          <w:highlight w:val="none"/>
        </w:rPr>
        <w:t>年项目预算资金</w:t>
      </w:r>
      <w:r>
        <w:rPr>
          <w:rFonts w:hint="eastAsia" w:ascii="仿宋_GB2312" w:hAnsi="仿宋_GB2312" w:eastAsia="仿宋_GB2312" w:cs="仿宋_GB2312"/>
          <w:w w:val="95"/>
          <w:sz w:val="32"/>
          <w:szCs w:val="32"/>
          <w:highlight w:val="none"/>
          <w:lang w:eastAsia="zh-CN"/>
        </w:rPr>
        <w:t>4024万元</w:t>
      </w:r>
      <w:r>
        <w:rPr>
          <w:rFonts w:hint="eastAsia" w:ascii="仿宋_GB2312" w:hAnsi="宋体" w:eastAsia="仿宋_GB2312"/>
          <w:sz w:val="32"/>
          <w:szCs w:val="32"/>
          <w:highlight w:val="none"/>
        </w:rPr>
        <w:t>，主要用于</w:t>
      </w:r>
      <w:r>
        <w:rPr>
          <w:rFonts w:hint="eastAsia" w:ascii="仿宋_GB2312" w:eastAsia="仿宋_GB2312"/>
          <w:sz w:val="32"/>
          <w:szCs w:val="32"/>
          <w:highlight w:val="none"/>
        </w:rPr>
        <w:t>北京怀柔综合性国家科学中心材料基因组研究平台等7个交叉研究平台的运行经费支持</w:t>
      </w:r>
      <w:r>
        <w:rPr>
          <w:rFonts w:hint="eastAsia" w:ascii="仿宋_GB2312" w:eastAsia="仿宋_GB2312"/>
          <w:sz w:val="32"/>
          <w:szCs w:val="32"/>
          <w:highlight w:val="none"/>
          <w:lang w:eastAsia="zh-CN"/>
        </w:rPr>
        <w:t>。</w:t>
      </w:r>
      <w:r>
        <w:rPr>
          <w:rFonts w:hint="eastAsia" w:ascii="仿宋_GB2312" w:hAnsi="仿宋_GB2312" w:eastAsia="仿宋_GB2312" w:cs="仿宋_GB2312"/>
          <w:bCs w:val="0"/>
          <w:kern w:val="0"/>
          <w:sz w:val="32"/>
          <w:szCs w:val="32"/>
          <w:highlight w:val="none"/>
          <w:lang w:val="en-US" w:eastAsia="zh-CN" w:bidi="ar-SA"/>
        </w:rPr>
        <w:t>怀柔科学城管委会成立由设施平台处主管领导为组长的工作小组，负责人为处长，负责此项工作的全流程把关、确认，处室成员负责联系专家组建评审成员、对接审计专家，联系会务公司筹备评审会，整理院所提交的资料。财经管理处负责资金预算、申报、拨付等。</w:t>
      </w:r>
      <w:r>
        <w:rPr>
          <w:rFonts w:hint="eastAsia" w:ascii="仿宋_GB2312" w:hAnsi="仿宋_GB2312" w:eastAsia="仿宋_GB2312" w:cs="仿宋_GB2312"/>
          <w:sz w:val="32"/>
          <w:szCs w:val="32"/>
          <w:highlight w:val="none"/>
          <w:lang w:eastAsia="zh-CN"/>
        </w:rPr>
        <w:t>2024</w:t>
      </w:r>
      <w:r>
        <w:rPr>
          <w:rFonts w:hint="eastAsia" w:ascii="仿宋_GB2312" w:hAnsi="仿宋_GB2312" w:eastAsia="仿宋_GB2312" w:cs="仿宋_GB2312"/>
          <w:sz w:val="32"/>
          <w:szCs w:val="32"/>
          <w:highlight w:val="none"/>
        </w:rPr>
        <w:t>年9月怀柔科学城管委会发布通知，组织申报202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年运行经费支持资金</w:t>
      </w:r>
      <w:r>
        <w:rPr>
          <w:rFonts w:hint="eastAsia" w:ascii="仿宋_GB2312" w:hAnsi="仿宋_GB2312" w:eastAsia="仿宋_GB2312" w:cs="仿宋_GB2312"/>
          <w:sz w:val="32"/>
          <w:szCs w:val="32"/>
          <w:highlight w:val="none"/>
          <w:lang w:val="en-US" w:eastAsia="zh-CN"/>
        </w:rPr>
        <w:t>,并</w:t>
      </w:r>
      <w:r>
        <w:rPr>
          <w:rFonts w:hint="eastAsia" w:ascii="仿宋_GB2312" w:hAnsi="楷体_GB2312" w:eastAsia="仿宋_GB2312" w:cs="楷体_GB2312"/>
          <w:bCs/>
          <w:kern w:val="0"/>
          <w:sz w:val="32"/>
          <w:szCs w:val="32"/>
          <w:highlight w:val="none"/>
        </w:rPr>
        <w:t>高质量组建评审委员会</w:t>
      </w:r>
      <w:r>
        <w:rPr>
          <w:rFonts w:hint="eastAsia" w:ascii="仿宋_GB2312" w:hAnsi="楷体_GB2312" w:eastAsia="仿宋_GB2312" w:cs="楷体_GB2312"/>
          <w:bCs/>
          <w:kern w:val="0"/>
          <w:sz w:val="32"/>
          <w:szCs w:val="32"/>
          <w:highlight w:val="none"/>
          <w:lang w:eastAsia="zh-CN"/>
        </w:rPr>
        <w:t>，</w:t>
      </w:r>
      <w:r>
        <w:rPr>
          <w:rFonts w:hint="eastAsia" w:ascii="仿宋_GB2312" w:hAnsi="仿宋_GB2312" w:eastAsia="仿宋_GB2312" w:cs="仿宋_GB2312"/>
          <w:kern w:val="0"/>
          <w:sz w:val="32"/>
          <w:szCs w:val="32"/>
          <w:highlight w:val="none"/>
        </w:rPr>
        <w:t>组织第三方审计公司进驻平台现场，依据费用支出记账凭证及附件、费用支出明细账进行审计，并出具审计报告。</w:t>
      </w:r>
      <w:r>
        <w:rPr>
          <w:rFonts w:hint="eastAsia" w:ascii="仿宋_GB2312" w:hAnsi="仿宋_GB2312" w:eastAsia="仿宋_GB2312" w:cs="仿宋_GB2312"/>
          <w:sz w:val="32"/>
          <w:szCs w:val="32"/>
          <w:highlight w:val="none"/>
          <w:lang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月，组织召开专家评审会</w:t>
      </w:r>
      <w:r>
        <w:rPr>
          <w:rFonts w:hint="eastAsia" w:ascii="仿宋_GB2312" w:hAnsi="仿宋_GB2312" w:eastAsia="仿宋_GB2312" w:cs="仿宋_GB2312"/>
          <w:sz w:val="32"/>
          <w:szCs w:val="32"/>
          <w:highlight w:val="none"/>
          <w:lang w:eastAsia="zh-CN"/>
        </w:rPr>
        <w:t>和现场核查</w:t>
      </w:r>
      <w:r>
        <w:rPr>
          <w:rFonts w:hint="eastAsia" w:ascii="仿宋_GB2312" w:hAnsi="仿宋_GB2312" w:eastAsia="仿宋_GB2312" w:cs="仿宋_GB2312"/>
          <w:sz w:val="32"/>
          <w:szCs w:val="32"/>
          <w:highlight w:val="none"/>
        </w:rPr>
        <w:t>，专家组通过听取平台主体汇报、提问交流、研讨评议、实地考察等环节，结合第三方会计师事务所对平台能源、物业、新增改造等费用</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rPr>
        <w:t>专项审计</w:t>
      </w:r>
      <w:r>
        <w:rPr>
          <w:rFonts w:hint="eastAsia" w:ascii="仿宋_GB2312" w:hAnsi="仿宋_GB2312" w:eastAsia="仿宋_GB2312" w:cs="仿宋_GB2312"/>
          <w:sz w:val="32"/>
          <w:szCs w:val="32"/>
          <w:highlight w:val="none"/>
          <w:lang w:eastAsia="zh-CN"/>
        </w:rPr>
        <w:t>报告</w:t>
      </w:r>
      <w:r>
        <w:rPr>
          <w:rFonts w:hint="eastAsia" w:ascii="仿宋_GB2312" w:hAnsi="仿宋_GB2312" w:eastAsia="仿宋_GB2312" w:cs="仿宋_GB2312"/>
          <w:sz w:val="32"/>
          <w:szCs w:val="32"/>
          <w:highlight w:val="none"/>
        </w:rPr>
        <w:t>，对平台运行情况进行评审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kern w:val="0"/>
          <w:sz w:val="32"/>
          <w:szCs w:val="32"/>
          <w:highlight w:val="none"/>
        </w:rPr>
        <w:t>出具评审意见</w:t>
      </w:r>
      <w:r>
        <w:rPr>
          <w:rFonts w:hint="eastAsia" w:ascii="仿宋_GB2312" w:hAnsi="仿宋_GB2312" w:eastAsia="仿宋_GB2312" w:cs="仿宋_GB2312"/>
          <w:kern w:val="0"/>
          <w:sz w:val="32"/>
          <w:szCs w:val="32"/>
          <w:highlight w:val="none"/>
          <w:lang w:eastAsia="zh-CN"/>
        </w:rPr>
        <w:t>。</w:t>
      </w:r>
      <w:r>
        <w:rPr>
          <w:rFonts w:hint="eastAsia" w:ascii="仿宋_GB2312" w:hAnsi="楷体_GB2312" w:eastAsia="仿宋_GB2312" w:cs="楷体_GB2312"/>
          <w:bCs/>
          <w:kern w:val="0"/>
          <w:sz w:val="32"/>
          <w:szCs w:val="32"/>
          <w:highlight w:val="none"/>
          <w:lang w:eastAsia="zh-CN"/>
        </w:rPr>
        <w:t>经</w:t>
      </w:r>
      <w:r>
        <w:rPr>
          <w:rFonts w:hint="eastAsia" w:ascii="仿宋_GB2312" w:hAnsi="楷体_GB2312" w:eastAsia="仿宋_GB2312" w:cs="楷体_GB2312"/>
          <w:bCs/>
          <w:kern w:val="0"/>
          <w:sz w:val="32"/>
          <w:szCs w:val="32"/>
          <w:highlight w:val="none"/>
        </w:rPr>
        <w:t>提请</w:t>
      </w:r>
      <w:bookmarkStart w:id="14" w:name="_GoBack"/>
      <w:bookmarkEnd w:id="14"/>
      <w:r>
        <w:rPr>
          <w:rFonts w:hint="eastAsia" w:ascii="仿宋_GB2312" w:hAnsi="楷体_GB2312" w:eastAsia="仿宋_GB2312" w:cs="楷体_GB2312"/>
          <w:bCs/>
          <w:kern w:val="0"/>
          <w:sz w:val="32"/>
          <w:szCs w:val="32"/>
          <w:highlight w:val="none"/>
          <w:lang w:eastAsia="zh-CN"/>
        </w:rPr>
        <w:t>会议</w:t>
      </w:r>
      <w:r>
        <w:rPr>
          <w:rFonts w:hint="eastAsia" w:ascii="仿宋_GB2312" w:hAnsi="楷体_GB2312" w:eastAsia="仿宋_GB2312" w:cs="楷体_GB2312"/>
          <w:bCs/>
          <w:kern w:val="0"/>
          <w:sz w:val="32"/>
          <w:szCs w:val="32"/>
          <w:highlight w:val="none"/>
        </w:rPr>
        <w:t>审议</w:t>
      </w:r>
      <w:r>
        <w:rPr>
          <w:rFonts w:hint="eastAsia" w:ascii="仿宋_GB2312" w:hAnsi="楷体_GB2312" w:eastAsia="仿宋_GB2312" w:cs="楷体_GB2312"/>
          <w:bCs/>
          <w:kern w:val="0"/>
          <w:sz w:val="32"/>
          <w:szCs w:val="32"/>
          <w:highlight w:val="none"/>
          <w:lang w:eastAsia="zh-CN"/>
        </w:rPr>
        <w:t>、公示等程序，</w:t>
      </w:r>
      <w:r>
        <w:rPr>
          <w:rFonts w:hint="eastAsia" w:ascii="仿宋_GB2312" w:hAnsi="楷体_GB2312" w:eastAsia="仿宋_GB2312" w:cs="楷体_GB2312"/>
          <w:bCs/>
          <w:kern w:val="0"/>
          <w:sz w:val="32"/>
          <w:szCs w:val="32"/>
          <w:highlight w:val="none"/>
          <w:lang w:val="en-US" w:eastAsia="zh-CN"/>
        </w:rPr>
        <w:t>拨付支持资金共4024万元。</w:t>
      </w:r>
    </w:p>
    <w:p>
      <w:pPr>
        <w:spacing w:line="360" w:lineRule="auto"/>
        <w:ind w:left="640" w:leftChars="305" w:firstLine="0" w:firstLineChars="0"/>
        <w:contextualSpacing/>
        <w:rPr>
          <w:rFonts w:ascii="仿宋_GB2312" w:eastAsia="仿宋_GB2312"/>
          <w:b/>
          <w:kern w:val="44"/>
          <w:sz w:val="32"/>
          <w:szCs w:val="32"/>
          <w:highlight w:val="none"/>
        </w:rPr>
      </w:pPr>
      <w:r>
        <w:rPr>
          <w:rFonts w:hint="eastAsia" w:ascii="仿宋_GB2312" w:eastAsia="仿宋_GB2312"/>
          <w:b/>
          <w:kern w:val="44"/>
          <w:sz w:val="32"/>
          <w:szCs w:val="32"/>
          <w:highlight w:val="none"/>
        </w:rPr>
        <w:t>6.项目资金情况</w:t>
      </w:r>
    </w:p>
    <w:p>
      <w:pPr>
        <w:numPr>
          <w:ilvl w:val="255"/>
          <w:numId w:val="0"/>
        </w:numPr>
        <w:ind w:firstLine="640" w:firstLineChars="200"/>
        <w:rPr>
          <w:rFonts w:ascii="仿宋_GB2312" w:eastAsia="仿宋_GB2312" w:hAnsiTheme="minorEastAsia"/>
          <w:sz w:val="32"/>
          <w:szCs w:val="32"/>
          <w:highlight w:val="none"/>
        </w:rPr>
      </w:pPr>
      <w:r>
        <w:rPr>
          <w:rFonts w:ascii="仿宋_GB2312" w:eastAsia="仿宋_GB2312" w:cs="仿宋_GB2312"/>
          <w:sz w:val="32"/>
          <w:szCs w:val="32"/>
          <w:highlight w:val="none"/>
        </w:rPr>
        <w:t>该项资金</w:t>
      </w:r>
      <w:r>
        <w:rPr>
          <w:rFonts w:hint="eastAsia" w:ascii="仿宋_GB2312" w:eastAsia="仿宋_GB2312" w:cs="仿宋_GB2312"/>
          <w:sz w:val="32"/>
          <w:szCs w:val="32"/>
          <w:highlight w:val="none"/>
          <w:lang w:eastAsia="zh-CN"/>
        </w:rPr>
        <w:t>全部为</w:t>
      </w:r>
      <w:r>
        <w:rPr>
          <w:rFonts w:hint="eastAsia" w:ascii="仿宋_GB2312" w:eastAsia="仿宋_GB2312" w:cs="仿宋_GB2312"/>
          <w:sz w:val="32"/>
          <w:szCs w:val="32"/>
          <w:highlight w:val="none"/>
        </w:rPr>
        <w:t>怀柔科学城管委会</w:t>
      </w:r>
      <w:r>
        <w:rPr>
          <w:rFonts w:hint="eastAsia" w:ascii="仿宋_GB2312" w:eastAsia="仿宋_GB2312" w:cs="仿宋_GB2312"/>
          <w:sz w:val="32"/>
          <w:szCs w:val="32"/>
          <w:highlight w:val="none"/>
          <w:lang w:eastAsia="zh-CN"/>
        </w:rPr>
        <w:t>一般公共预算财政拨款资金</w:t>
      </w:r>
      <w:r>
        <w:rPr>
          <w:rFonts w:hint="eastAsia" w:ascii="仿宋_GB2312" w:eastAsia="仿宋_GB2312" w:cs="仿宋_GB2312"/>
          <w:sz w:val="32"/>
          <w:szCs w:val="32"/>
          <w:highlight w:val="none"/>
        </w:rPr>
        <w:t>。</w:t>
      </w:r>
      <w:r>
        <w:rPr>
          <w:rFonts w:hint="eastAsia" w:ascii="仿宋_GB2312" w:eastAsia="仿宋_GB2312" w:hAnsiTheme="minorEastAsia"/>
          <w:sz w:val="32"/>
          <w:szCs w:val="32"/>
          <w:highlight w:val="none"/>
        </w:rPr>
        <w:t>根据《实施细则》规定，结合专家评审结果，综合考虑各平台在运行保障方面的支出和运行成效，</w:t>
      </w:r>
      <w:r>
        <w:rPr>
          <w:rFonts w:hint="eastAsia" w:ascii="仿宋_GB2312" w:hAnsi="仿宋_GB2312" w:eastAsia="仿宋_GB2312" w:cs="仿宋_GB2312"/>
          <w:kern w:val="0"/>
          <w:sz w:val="32"/>
          <w:szCs w:val="32"/>
          <w:highlight w:val="none"/>
          <w:lang w:eastAsia="zh-CN"/>
        </w:rPr>
        <w:t>最终支持</w:t>
      </w:r>
      <w:r>
        <w:rPr>
          <w:rFonts w:hint="eastAsia" w:ascii="仿宋_GB2312" w:hAnsi="仿宋_GB2312" w:eastAsia="仿宋_GB2312" w:cs="仿宋_GB2312"/>
          <w:kern w:val="0"/>
          <w:sz w:val="32"/>
          <w:szCs w:val="32"/>
          <w:highlight w:val="none"/>
        </w:rPr>
        <w:t>材料基因组研究平台</w:t>
      </w:r>
      <w:r>
        <w:rPr>
          <w:rFonts w:hint="eastAsia" w:ascii="仿宋_GB2312" w:hAnsi="仿宋_GB2312" w:eastAsia="仿宋_GB2312" w:cs="仿宋_GB2312"/>
          <w:kern w:val="0"/>
          <w:sz w:val="32"/>
          <w:szCs w:val="32"/>
          <w:highlight w:val="none"/>
          <w:lang w:eastAsia="zh-CN"/>
        </w:rPr>
        <w:t>等</w:t>
      </w:r>
      <w:r>
        <w:rPr>
          <w:rFonts w:hint="eastAsia" w:ascii="仿宋_GB2312" w:hAnsi="仿宋_GB2312" w:eastAsia="仿宋_GB2312" w:cs="仿宋_GB2312"/>
          <w:kern w:val="0"/>
          <w:sz w:val="32"/>
          <w:szCs w:val="32"/>
          <w:highlight w:val="none"/>
          <w:lang w:val="en-US" w:eastAsia="zh-CN"/>
        </w:rPr>
        <w:t>7个交叉研究平台项目共4024万元</w:t>
      </w:r>
      <w:r>
        <w:rPr>
          <w:rFonts w:hint="eastAsia" w:ascii="仿宋_GB2312" w:hAnsi="仿宋_GB2312" w:eastAsia="仿宋_GB2312" w:cs="仿宋_GB2312"/>
          <w:kern w:val="0"/>
          <w:sz w:val="32"/>
          <w:szCs w:val="32"/>
          <w:highlight w:val="none"/>
        </w:rPr>
        <w:t>。</w:t>
      </w:r>
    </w:p>
    <w:p>
      <w:pPr>
        <w:spacing w:line="360" w:lineRule="auto"/>
        <w:ind w:firstLine="643" w:firstLineChars="200"/>
        <w:contextualSpacing/>
        <w:rPr>
          <w:rFonts w:ascii="仿宋_GB2312" w:eastAsia="仿宋_GB2312"/>
          <w:b/>
          <w:sz w:val="32"/>
          <w:szCs w:val="32"/>
          <w:highlight w:val="none"/>
        </w:rPr>
      </w:pPr>
      <w:r>
        <w:rPr>
          <w:rFonts w:hint="eastAsia" w:ascii="仿宋_GB2312" w:eastAsia="仿宋_GB2312"/>
          <w:b/>
          <w:sz w:val="32"/>
          <w:szCs w:val="32"/>
          <w:highlight w:val="none"/>
        </w:rPr>
        <w:t>(二)项目绩效目标</w:t>
      </w:r>
    </w:p>
    <w:p>
      <w:pPr>
        <w:spacing w:line="360" w:lineRule="auto"/>
        <w:ind w:firstLine="643" w:firstLineChars="200"/>
        <w:contextualSpacing/>
        <w:rPr>
          <w:rFonts w:ascii="仿宋_GB2312" w:eastAsia="仿宋_GB2312"/>
          <w:b/>
          <w:kern w:val="44"/>
          <w:sz w:val="32"/>
          <w:szCs w:val="32"/>
          <w:highlight w:val="none"/>
        </w:rPr>
      </w:pPr>
      <w:r>
        <w:rPr>
          <w:rFonts w:hint="eastAsia" w:ascii="仿宋_GB2312" w:eastAsia="仿宋_GB2312"/>
          <w:b/>
          <w:sz w:val="32"/>
          <w:szCs w:val="32"/>
          <w:highlight w:val="none"/>
        </w:rPr>
        <w:t>1.</w:t>
      </w:r>
      <w:r>
        <w:rPr>
          <w:rFonts w:hint="eastAsia" w:ascii="仿宋_GB2312" w:eastAsia="仿宋_GB2312"/>
          <w:b/>
          <w:kern w:val="44"/>
          <w:sz w:val="32"/>
          <w:szCs w:val="32"/>
          <w:highlight w:val="none"/>
        </w:rPr>
        <w:t>总体目标</w:t>
      </w:r>
    </w:p>
    <w:p>
      <w:pPr>
        <w:pStyle w:val="6"/>
        <w:ind w:firstLine="640"/>
        <w:rPr>
          <w:rFonts w:ascii="仿宋_GB2312" w:eastAsia="仿宋_GB2312"/>
          <w:sz w:val="32"/>
          <w:szCs w:val="32"/>
          <w:highlight w:val="none"/>
        </w:rPr>
      </w:pPr>
      <w:r>
        <w:rPr>
          <w:rFonts w:hint="eastAsia" w:ascii="仿宋_GB2312" w:eastAsia="仿宋_GB2312"/>
          <w:sz w:val="32"/>
          <w:szCs w:val="32"/>
          <w:highlight w:val="none"/>
        </w:rPr>
        <w:t>通过支持资金的发放，推动了交叉研究平台开放共享，保障了起步运行。</w:t>
      </w:r>
    </w:p>
    <w:p>
      <w:pPr>
        <w:ind w:firstLine="640"/>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2.阶段性目标</w:t>
      </w:r>
    </w:p>
    <w:p>
      <w:pPr>
        <w:adjustRightInd w:val="0"/>
        <w:snapToGrid w:val="0"/>
        <w:spacing w:line="600" w:lineRule="exact"/>
        <w:ind w:firstLine="640" w:firstLineChars="200"/>
        <w:rPr>
          <w:rFonts w:ascii="仿宋_GB2312" w:eastAsia="仿宋_GB2312"/>
          <w:bCs/>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年按计划组织专家对</w:t>
      </w:r>
      <w:r>
        <w:rPr>
          <w:rFonts w:hint="eastAsia" w:ascii="仿宋_GB2312" w:eastAsia="仿宋_GB2312"/>
          <w:sz w:val="32"/>
          <w:szCs w:val="32"/>
          <w:highlight w:val="none"/>
          <w:lang w:eastAsia="zh-CN"/>
        </w:rPr>
        <w:t>怀柔科学城</w:t>
      </w:r>
      <w:r>
        <w:rPr>
          <w:rFonts w:hint="eastAsia" w:ascii="仿宋_GB2312" w:eastAsia="仿宋_GB2312"/>
          <w:sz w:val="32"/>
          <w:szCs w:val="32"/>
          <w:highlight w:val="none"/>
        </w:rPr>
        <w:t>交叉研究平台</w:t>
      </w:r>
      <w:r>
        <w:rPr>
          <w:rFonts w:hint="eastAsia" w:ascii="仿宋_GB2312" w:eastAsia="仿宋_GB2312"/>
          <w:sz w:val="32"/>
          <w:szCs w:val="32"/>
          <w:highlight w:val="none"/>
          <w:lang w:eastAsia="zh-CN"/>
        </w:rPr>
        <w:t>运行</w:t>
      </w:r>
      <w:r>
        <w:rPr>
          <w:rFonts w:hint="eastAsia" w:ascii="仿宋_GB2312" w:eastAsia="仿宋_GB2312"/>
          <w:sz w:val="32"/>
          <w:szCs w:val="32"/>
          <w:highlight w:val="none"/>
        </w:rPr>
        <w:t>进行评审，加强平台运行指导，促进合作交流。</w:t>
      </w:r>
    </w:p>
    <w:p>
      <w:pPr>
        <w:spacing w:line="360" w:lineRule="auto"/>
        <w:ind w:firstLine="643" w:firstLineChars="200"/>
        <w:contextualSpacing/>
        <w:rPr>
          <w:rFonts w:ascii="仿宋_GB2312" w:eastAsia="仿宋_GB2312"/>
          <w:b/>
          <w:sz w:val="32"/>
          <w:szCs w:val="32"/>
          <w:highlight w:val="none"/>
        </w:rPr>
      </w:pPr>
      <w:r>
        <w:rPr>
          <w:rFonts w:hint="eastAsia" w:ascii="仿宋_GB2312" w:eastAsia="仿宋_GB2312"/>
          <w:b/>
          <w:sz w:val="32"/>
          <w:szCs w:val="32"/>
          <w:highlight w:val="none"/>
        </w:rPr>
        <w:t>二、绩效评价工作开展情况</w:t>
      </w:r>
    </w:p>
    <w:p>
      <w:pPr>
        <w:spacing w:line="360" w:lineRule="auto"/>
        <w:ind w:firstLine="643" w:firstLineChars="200"/>
        <w:contextualSpacing/>
        <w:rPr>
          <w:rFonts w:ascii="仿宋_GB2312" w:eastAsia="仿宋_GB2312" w:cs="仿宋_GB2312"/>
          <w:b/>
          <w:bCs/>
          <w:sz w:val="32"/>
          <w:szCs w:val="32"/>
          <w:highlight w:val="none"/>
        </w:rPr>
      </w:pPr>
      <w:r>
        <w:rPr>
          <w:rFonts w:hint="eastAsia" w:ascii="仿宋_GB2312" w:eastAsia="仿宋_GB2312" w:cs="仿宋_GB2312"/>
          <w:b/>
          <w:bCs/>
          <w:sz w:val="32"/>
          <w:szCs w:val="32"/>
          <w:highlight w:val="none"/>
        </w:rPr>
        <w:t>（一）绩效评价目的、对象和范围</w:t>
      </w:r>
    </w:p>
    <w:p>
      <w:pPr>
        <w:spacing w:line="360" w:lineRule="auto"/>
        <w:ind w:firstLine="643" w:firstLineChars="200"/>
        <w:contextualSpacing/>
        <w:rPr>
          <w:rFonts w:ascii="仿宋_GB2312" w:eastAsia="仿宋_GB2312" w:cs="仿宋_GB2312"/>
          <w:b/>
          <w:bCs/>
          <w:sz w:val="32"/>
          <w:szCs w:val="32"/>
          <w:highlight w:val="none"/>
        </w:rPr>
      </w:pPr>
      <w:bookmarkStart w:id="0" w:name="_Toc331420045"/>
      <w:bookmarkStart w:id="1" w:name="_Toc331419433"/>
      <w:r>
        <w:rPr>
          <w:rFonts w:hint="eastAsia" w:ascii="仿宋_GB2312" w:eastAsia="仿宋_GB2312" w:cs="仿宋_GB2312"/>
          <w:b/>
          <w:bCs/>
          <w:sz w:val="32"/>
          <w:szCs w:val="32"/>
          <w:highlight w:val="none"/>
        </w:rPr>
        <w:t>1.绩效评价目的</w:t>
      </w:r>
      <w:bookmarkEnd w:id="0"/>
      <w:bookmarkEnd w:id="1"/>
    </w:p>
    <w:p>
      <w:pPr>
        <w:spacing w:line="360" w:lineRule="auto"/>
        <w:ind w:firstLine="640" w:firstLineChars="200"/>
        <w:contextualSpacing/>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本次评价的目的主要是了解北京怀柔综合性国家科学中心交叉研究平台运行经费补助项目使用情况和取得的效果，总结项目管理经验，发现项目管理存在的问题，进一步加强和规范项目资金管理，完善项目和资金管理办法，指导预算编制和申报绩效目标，为优化财政支出结构提供决策参考和依据。</w:t>
      </w:r>
    </w:p>
    <w:p>
      <w:pPr>
        <w:spacing w:line="360" w:lineRule="auto"/>
        <w:ind w:firstLine="643" w:firstLineChars="200"/>
        <w:contextualSpacing/>
        <w:rPr>
          <w:rFonts w:ascii="仿宋_GB2312" w:eastAsia="仿宋_GB2312" w:cs="仿宋_GB2312"/>
          <w:b/>
          <w:bCs/>
          <w:sz w:val="32"/>
          <w:szCs w:val="32"/>
          <w:highlight w:val="none"/>
        </w:rPr>
      </w:pPr>
      <w:r>
        <w:rPr>
          <w:rFonts w:hint="eastAsia" w:ascii="仿宋_GB2312" w:eastAsia="仿宋_GB2312" w:cs="仿宋_GB2312"/>
          <w:b/>
          <w:bCs/>
          <w:sz w:val="32"/>
          <w:szCs w:val="32"/>
          <w:highlight w:val="none"/>
        </w:rPr>
        <w:t>2.绩效评价对象</w:t>
      </w:r>
    </w:p>
    <w:p>
      <w:pPr>
        <w:pStyle w:val="4"/>
        <w:ind w:firstLine="640"/>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北京怀柔科学城管理委员会。</w:t>
      </w:r>
    </w:p>
    <w:p>
      <w:pPr>
        <w:spacing w:line="360" w:lineRule="auto"/>
        <w:ind w:firstLine="643" w:firstLineChars="200"/>
        <w:contextualSpacing/>
        <w:rPr>
          <w:rFonts w:ascii="仿宋_GB2312" w:eastAsia="仿宋_GB2312" w:cs="仿宋_GB2312"/>
          <w:b/>
          <w:bCs/>
          <w:sz w:val="32"/>
          <w:szCs w:val="32"/>
          <w:highlight w:val="none"/>
        </w:rPr>
      </w:pPr>
      <w:r>
        <w:rPr>
          <w:rFonts w:hint="eastAsia" w:ascii="仿宋_GB2312" w:eastAsia="仿宋_GB2312" w:cs="仿宋_GB2312"/>
          <w:b/>
          <w:bCs/>
          <w:sz w:val="32"/>
          <w:szCs w:val="32"/>
          <w:highlight w:val="none"/>
        </w:rPr>
        <w:t>3.绩效评价范围</w:t>
      </w:r>
    </w:p>
    <w:p>
      <w:pPr>
        <w:pStyle w:val="4"/>
        <w:ind w:firstLine="640"/>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北京怀柔综合性国家科学中心交叉研究平台运行经费补助。</w:t>
      </w:r>
    </w:p>
    <w:p>
      <w:pPr>
        <w:spacing w:line="360" w:lineRule="auto"/>
        <w:ind w:firstLine="643" w:firstLineChars="200"/>
        <w:contextualSpacing/>
        <w:rPr>
          <w:rFonts w:ascii="仿宋_GB2312" w:eastAsia="仿宋_GB2312" w:cs="仿宋_GB2312"/>
          <w:b/>
          <w:bCs/>
          <w:sz w:val="32"/>
          <w:szCs w:val="32"/>
          <w:highlight w:val="none"/>
        </w:rPr>
      </w:pPr>
      <w:r>
        <w:rPr>
          <w:rFonts w:hint="eastAsia" w:ascii="仿宋_GB2312" w:eastAsia="仿宋_GB2312" w:cs="仿宋_GB2312"/>
          <w:b/>
          <w:bCs/>
          <w:sz w:val="32"/>
          <w:szCs w:val="32"/>
          <w:highlight w:val="none"/>
        </w:rPr>
        <w:t>（二）绩效评价原则、评价指标体系（附表说明）、评价方法、评价标准</w:t>
      </w:r>
    </w:p>
    <w:p>
      <w:pPr>
        <w:spacing w:line="360" w:lineRule="auto"/>
        <w:ind w:firstLine="643" w:firstLineChars="200"/>
        <w:contextualSpacing/>
        <w:rPr>
          <w:rFonts w:ascii="仿宋_GB2312" w:eastAsia="仿宋_GB2312" w:cs="仿宋_GB2312"/>
          <w:b/>
          <w:bCs/>
          <w:sz w:val="32"/>
          <w:szCs w:val="32"/>
          <w:highlight w:val="none"/>
        </w:rPr>
      </w:pPr>
      <w:bookmarkStart w:id="2" w:name="_Toc331420046"/>
      <w:bookmarkStart w:id="3" w:name="_Toc331419434"/>
      <w:r>
        <w:rPr>
          <w:rFonts w:hint="eastAsia" w:ascii="仿宋_GB2312" w:eastAsia="仿宋_GB2312" w:cs="仿宋_GB2312"/>
          <w:b/>
          <w:bCs/>
          <w:sz w:val="32"/>
          <w:szCs w:val="32"/>
          <w:highlight w:val="none"/>
        </w:rPr>
        <w:t>1.绩效评价原则与方法</w:t>
      </w:r>
      <w:bookmarkEnd w:id="2"/>
      <w:bookmarkEnd w:id="3"/>
    </w:p>
    <w:p>
      <w:pPr>
        <w:spacing w:line="360" w:lineRule="auto"/>
        <w:ind w:firstLine="640" w:firstLineChars="200"/>
        <w:contextualSpacing/>
        <w:rPr>
          <w:rFonts w:ascii="仿宋_GB2312" w:eastAsia="仿宋_GB2312"/>
          <w:sz w:val="32"/>
          <w:szCs w:val="32"/>
          <w:highlight w:val="none"/>
        </w:rPr>
      </w:pPr>
      <w:r>
        <w:rPr>
          <w:rFonts w:hint="eastAsia" w:ascii="仿宋_GB2312" w:hAnsi="仿宋_GB2312" w:eastAsia="仿宋_GB2312" w:cs="仿宋_GB2312"/>
          <w:color w:val="000000"/>
          <w:sz w:val="32"/>
          <w:szCs w:val="32"/>
          <w:highlight w:val="none"/>
        </w:rPr>
        <w:t>评价工作组</w:t>
      </w:r>
      <w:r>
        <w:rPr>
          <w:rFonts w:hint="eastAsia" w:ascii="仿宋_GB2312" w:eastAsia="仿宋_GB2312"/>
          <w:sz w:val="32"/>
          <w:szCs w:val="32"/>
          <w:highlight w:val="none"/>
        </w:rPr>
        <w:t>本着独立、科学、规范、客观、公正的原则，依据相关方面的规范文件、预算批复文件、项目绩效报告和现场调研信息等，对北京怀柔综合性国家科学中心交叉研究平台运行经费补助项目进行了绩效评价。</w:t>
      </w:r>
      <w:bookmarkStart w:id="4" w:name="_Toc331419435"/>
      <w:bookmarkStart w:id="5" w:name="_Toc331420047"/>
    </w:p>
    <w:p>
      <w:pPr>
        <w:spacing w:line="360" w:lineRule="auto"/>
        <w:ind w:firstLine="643" w:firstLineChars="200"/>
        <w:contextualSpacing/>
        <w:rPr>
          <w:rFonts w:ascii="仿宋_GB2312" w:eastAsia="仿宋_GB2312" w:cs="仿宋_GB2312"/>
          <w:b/>
          <w:bCs/>
          <w:sz w:val="32"/>
          <w:szCs w:val="32"/>
          <w:highlight w:val="none"/>
        </w:rPr>
      </w:pPr>
      <w:r>
        <w:rPr>
          <w:rFonts w:hint="eastAsia" w:ascii="仿宋_GB2312" w:eastAsia="仿宋_GB2312" w:cs="仿宋_GB2312"/>
          <w:b/>
          <w:bCs/>
          <w:sz w:val="32"/>
          <w:szCs w:val="32"/>
          <w:highlight w:val="none"/>
        </w:rPr>
        <w:t>（1）绩效评价原则</w:t>
      </w:r>
      <w:bookmarkEnd w:id="4"/>
      <w:bookmarkEnd w:id="5"/>
    </w:p>
    <w:p>
      <w:pPr>
        <w:pStyle w:val="3"/>
        <w:ind w:firstLine="640"/>
        <w:contextualSpacing/>
        <w:rPr>
          <w:rFonts w:ascii="仿宋_GB2312" w:hAnsi="宋体" w:eastAsia="仿宋_GB2312"/>
          <w:sz w:val="32"/>
          <w:szCs w:val="32"/>
          <w:highlight w:val="none"/>
        </w:rPr>
      </w:pPr>
      <w:bookmarkStart w:id="6" w:name="_Toc331419436"/>
      <w:bookmarkStart w:id="7" w:name="_Toc331420048"/>
      <w:r>
        <w:rPr>
          <w:rFonts w:hint="eastAsia" w:ascii="仿宋_GB2312" w:hAnsi="宋体" w:eastAsia="仿宋_GB2312"/>
          <w:sz w:val="32"/>
          <w:szCs w:val="32"/>
          <w:highlight w:val="none"/>
        </w:rPr>
        <w:t>科学规范原则。绩效评价应当严格执行规定的程序，按照科学可行的要求，采用定量与定性分析相结合的方法。</w:t>
      </w:r>
    </w:p>
    <w:p>
      <w:pPr>
        <w:pStyle w:val="3"/>
        <w:ind w:firstLine="640"/>
        <w:contextualSpacing/>
        <w:rPr>
          <w:rFonts w:ascii="仿宋_GB2312" w:hAnsi="宋体" w:eastAsia="仿宋_GB2312"/>
          <w:sz w:val="32"/>
          <w:szCs w:val="32"/>
          <w:highlight w:val="none"/>
        </w:rPr>
      </w:pPr>
      <w:r>
        <w:rPr>
          <w:rFonts w:hint="eastAsia" w:ascii="仿宋_GB2312" w:hAnsi="宋体" w:eastAsia="仿宋_GB2312"/>
          <w:sz w:val="32"/>
          <w:szCs w:val="32"/>
          <w:highlight w:val="none"/>
        </w:rPr>
        <w:t>公正公开原则。绩效评价应当符合真实、客观、公正的要求，依法公开并接受监督。</w:t>
      </w:r>
    </w:p>
    <w:p>
      <w:pPr>
        <w:pStyle w:val="3"/>
        <w:ind w:firstLine="640"/>
        <w:contextualSpacing/>
        <w:rPr>
          <w:rFonts w:ascii="仿宋_GB2312" w:hAnsi="宋体" w:eastAsia="仿宋_GB2312"/>
          <w:sz w:val="32"/>
          <w:szCs w:val="32"/>
          <w:highlight w:val="none"/>
        </w:rPr>
      </w:pPr>
      <w:r>
        <w:rPr>
          <w:rFonts w:hint="eastAsia" w:ascii="仿宋_GB2312" w:hAnsi="宋体" w:eastAsia="仿宋_GB2312"/>
          <w:sz w:val="32"/>
          <w:szCs w:val="32"/>
          <w:highlight w:val="none"/>
        </w:rPr>
        <w:t>绩效相关原则。绩效评价应当针对具体支出及其产出绩效进行，评价结果应当清晰反映支出和产出绩效之间的紧密对应关系。</w:t>
      </w:r>
    </w:p>
    <w:p>
      <w:pPr>
        <w:spacing w:line="360" w:lineRule="auto"/>
        <w:ind w:firstLine="643" w:firstLineChars="200"/>
        <w:contextualSpacing/>
        <w:rPr>
          <w:rFonts w:ascii="仿宋_GB2312" w:eastAsia="仿宋_GB2312" w:cs="仿宋_GB2312"/>
          <w:b/>
          <w:bCs/>
          <w:sz w:val="32"/>
          <w:szCs w:val="32"/>
          <w:highlight w:val="none"/>
        </w:rPr>
      </w:pPr>
      <w:r>
        <w:rPr>
          <w:rFonts w:hint="eastAsia" w:ascii="仿宋_GB2312" w:eastAsia="仿宋_GB2312" w:cs="仿宋_GB2312"/>
          <w:b/>
          <w:bCs/>
          <w:sz w:val="32"/>
          <w:szCs w:val="32"/>
          <w:highlight w:val="none"/>
        </w:rPr>
        <w:t>（2）评价方式方法</w:t>
      </w:r>
      <w:bookmarkEnd w:id="6"/>
      <w:bookmarkEnd w:id="7"/>
    </w:p>
    <w:p>
      <w:pPr>
        <w:widowControl/>
        <w:spacing w:line="360" w:lineRule="auto"/>
        <w:ind w:firstLine="640" w:firstLineChars="200"/>
        <w:contextualSpacing/>
        <w:rPr>
          <w:rFonts w:ascii="仿宋_GB2312" w:eastAsia="仿宋_GB2312"/>
          <w:kern w:val="0"/>
          <w:sz w:val="32"/>
          <w:szCs w:val="32"/>
          <w:highlight w:val="none"/>
        </w:rPr>
      </w:pPr>
      <w:r>
        <w:rPr>
          <w:rFonts w:hint="eastAsia" w:ascii="仿宋_GB2312" w:eastAsia="仿宋_GB2312"/>
          <w:kern w:val="0"/>
          <w:sz w:val="32"/>
          <w:szCs w:val="32"/>
          <w:highlight w:val="none"/>
        </w:rPr>
        <w:t>本着科学、规范、独立、客观、公正的原则，</w:t>
      </w:r>
      <w:r>
        <w:rPr>
          <w:rFonts w:hint="eastAsia" w:ascii="仿宋_GB2312" w:hAnsi="仿宋_GB2312" w:eastAsia="仿宋_GB2312" w:cs="仿宋_GB2312"/>
          <w:color w:val="000000"/>
          <w:sz w:val="32"/>
          <w:szCs w:val="32"/>
          <w:highlight w:val="none"/>
        </w:rPr>
        <w:t>评价工作组</w:t>
      </w:r>
      <w:r>
        <w:rPr>
          <w:rFonts w:hint="eastAsia" w:ascii="仿宋_GB2312" w:eastAsia="仿宋_GB2312"/>
          <w:kern w:val="0"/>
          <w:sz w:val="32"/>
          <w:szCs w:val="32"/>
          <w:highlight w:val="none"/>
        </w:rPr>
        <w:t>采取现场评价的方式，采用全面评价和重点评价相结合、成本效益分析法、比较法、专家评议法等分析方法，对项目进行综合评价。</w:t>
      </w:r>
    </w:p>
    <w:p>
      <w:pPr>
        <w:widowControl/>
        <w:spacing w:line="360" w:lineRule="auto"/>
        <w:ind w:firstLine="640" w:firstLineChars="200"/>
        <w:contextualSpacing/>
        <w:rPr>
          <w:rFonts w:ascii="仿宋_GB2312" w:eastAsia="仿宋_GB2312"/>
          <w:sz w:val="32"/>
          <w:szCs w:val="32"/>
          <w:highlight w:val="none"/>
        </w:rPr>
      </w:pPr>
      <w:r>
        <w:rPr>
          <w:rFonts w:hint="eastAsia" w:ascii="仿宋_GB2312" w:eastAsia="仿宋_GB2312"/>
          <w:kern w:val="0"/>
          <w:sz w:val="32"/>
          <w:szCs w:val="32"/>
          <w:highlight w:val="none"/>
        </w:rPr>
        <w:t>本次绩效评价</w:t>
      </w:r>
      <w:r>
        <w:rPr>
          <w:rFonts w:hint="eastAsia" w:ascii="仿宋_GB2312" w:eastAsia="仿宋_GB2312"/>
          <w:sz w:val="32"/>
          <w:szCs w:val="32"/>
          <w:highlight w:val="none"/>
        </w:rPr>
        <w:t>对项目单位在项目决策、项目管理、项目绩效方面的情况进行专家组现场评价，专家组通过查阅相关资料，与项目单位沟通交流，形成绩效评价综合结论。</w:t>
      </w:r>
    </w:p>
    <w:p>
      <w:pPr>
        <w:spacing w:line="360" w:lineRule="auto"/>
        <w:ind w:firstLine="643" w:firstLineChars="200"/>
        <w:contextualSpacing/>
        <w:rPr>
          <w:rFonts w:ascii="仿宋_GB2312" w:eastAsia="仿宋_GB2312" w:cs="仿宋_GB2312"/>
          <w:b/>
          <w:bCs/>
          <w:sz w:val="32"/>
          <w:szCs w:val="32"/>
          <w:highlight w:val="none"/>
        </w:rPr>
      </w:pPr>
      <w:r>
        <w:rPr>
          <w:rFonts w:hint="eastAsia" w:ascii="仿宋_GB2312" w:eastAsia="仿宋_GB2312" w:cs="仿宋_GB2312"/>
          <w:b/>
          <w:bCs/>
          <w:sz w:val="32"/>
          <w:szCs w:val="32"/>
          <w:highlight w:val="none"/>
        </w:rPr>
        <w:t>2. 评价指标体系及评分标准</w:t>
      </w:r>
    </w:p>
    <w:p>
      <w:pPr>
        <w:spacing w:line="360" w:lineRule="auto"/>
        <w:ind w:firstLine="640" w:firstLineChars="200"/>
        <w:contextualSpacing/>
        <w:rPr>
          <w:rFonts w:ascii="仿宋_GB2312" w:eastAsia="仿宋_GB2312" w:cs="仿宋_GB2312"/>
          <w:bCs/>
          <w:sz w:val="32"/>
          <w:szCs w:val="32"/>
          <w:highlight w:val="none"/>
        </w:rPr>
      </w:pPr>
      <w:r>
        <w:rPr>
          <w:rFonts w:hint="eastAsia" w:ascii="仿宋_GB2312" w:eastAsia="仿宋_GB2312" w:cs="仿宋_GB2312"/>
          <w:bCs/>
          <w:sz w:val="32"/>
          <w:szCs w:val="32"/>
          <w:highlight w:val="none"/>
        </w:rPr>
        <w:t>详见《项目支出指标体系及评分情况表》。</w:t>
      </w:r>
    </w:p>
    <w:p>
      <w:pPr>
        <w:spacing w:line="360" w:lineRule="auto"/>
        <w:ind w:firstLine="643" w:firstLineChars="200"/>
        <w:contextualSpacing/>
        <w:rPr>
          <w:rFonts w:ascii="仿宋_GB2312" w:eastAsia="仿宋_GB2312" w:cs="仿宋_GB2312"/>
          <w:b/>
          <w:bCs/>
          <w:sz w:val="32"/>
          <w:szCs w:val="32"/>
          <w:highlight w:val="none"/>
        </w:rPr>
      </w:pPr>
      <w:r>
        <w:rPr>
          <w:rFonts w:hint="eastAsia" w:ascii="仿宋_GB2312" w:eastAsia="仿宋_GB2312" w:cs="仿宋_GB2312"/>
          <w:b/>
          <w:bCs/>
          <w:sz w:val="32"/>
          <w:szCs w:val="32"/>
          <w:highlight w:val="none"/>
        </w:rPr>
        <w:t>（三）绩效评价工作过程</w:t>
      </w:r>
    </w:p>
    <w:p>
      <w:pPr>
        <w:spacing w:line="360" w:lineRule="auto"/>
        <w:ind w:firstLine="643" w:firstLineChars="200"/>
        <w:contextualSpacing/>
        <w:rPr>
          <w:rFonts w:ascii="仿宋_GB2312" w:eastAsia="仿宋_GB2312"/>
          <w:b/>
          <w:kern w:val="44"/>
          <w:sz w:val="32"/>
          <w:szCs w:val="32"/>
          <w:highlight w:val="none"/>
        </w:rPr>
      </w:pPr>
      <w:r>
        <w:rPr>
          <w:rFonts w:hint="eastAsia" w:ascii="仿宋_GB2312" w:eastAsia="仿宋_GB2312"/>
          <w:b/>
          <w:kern w:val="44"/>
          <w:sz w:val="32"/>
          <w:szCs w:val="32"/>
          <w:highlight w:val="none"/>
        </w:rPr>
        <w:t>1.评价组织实施</w:t>
      </w:r>
    </w:p>
    <w:p>
      <w:pPr>
        <w:spacing w:line="360" w:lineRule="auto"/>
        <w:ind w:firstLine="643" w:firstLineChars="200"/>
        <w:contextualSpacing/>
        <w:rPr>
          <w:rFonts w:ascii="仿宋_GB2312" w:eastAsia="仿宋_GB2312" w:cs="仿宋_GB2312"/>
          <w:b/>
          <w:bCs/>
          <w:sz w:val="32"/>
          <w:szCs w:val="32"/>
          <w:highlight w:val="none"/>
        </w:rPr>
      </w:pPr>
      <w:r>
        <w:rPr>
          <w:rFonts w:hint="eastAsia" w:ascii="仿宋_GB2312" w:eastAsia="仿宋_GB2312" w:cs="仿宋_GB2312"/>
          <w:b/>
          <w:bCs/>
          <w:sz w:val="32"/>
          <w:szCs w:val="32"/>
          <w:highlight w:val="none"/>
        </w:rPr>
        <w:t>（1）前期准备情况</w:t>
      </w:r>
    </w:p>
    <w:p>
      <w:pPr>
        <w:spacing w:line="360" w:lineRule="auto"/>
        <w:ind w:firstLine="643" w:firstLineChars="200"/>
        <w:contextualSpacing/>
        <w:rPr>
          <w:rFonts w:ascii="仿宋_GB2312" w:eastAsia="仿宋_GB2312" w:cs="仿宋_GB2312"/>
          <w:b/>
          <w:bCs/>
          <w:sz w:val="32"/>
          <w:szCs w:val="32"/>
          <w:highlight w:val="none"/>
        </w:rPr>
      </w:pPr>
      <w:r>
        <w:rPr>
          <w:rFonts w:hint="eastAsia" w:ascii="仿宋_GB2312" w:eastAsia="仿宋_GB2312" w:cs="仿宋_GB2312"/>
          <w:b/>
          <w:bCs/>
          <w:sz w:val="32"/>
          <w:szCs w:val="32"/>
          <w:highlight w:val="none"/>
        </w:rPr>
        <w:t>1）全面了解项目有关情况，组建工作组</w:t>
      </w:r>
    </w:p>
    <w:p>
      <w:pPr>
        <w:spacing w:line="360" w:lineRule="auto"/>
        <w:ind w:firstLine="640" w:firstLineChars="200"/>
        <w:contextualSpacing/>
        <w:rPr>
          <w:rFonts w:ascii="仿宋_GB2312" w:eastAsia="仿宋_GB2312" w:cs="仿宋_GB2312"/>
          <w:sz w:val="32"/>
          <w:szCs w:val="32"/>
          <w:highlight w:val="none"/>
        </w:rPr>
      </w:pPr>
      <w:r>
        <w:rPr>
          <w:rFonts w:hint="eastAsia" w:ascii="仿宋_GB2312" w:eastAsia="仿宋_GB2312" w:cs="仿宋_GB2312"/>
          <w:sz w:val="32"/>
          <w:szCs w:val="32"/>
          <w:highlight w:val="none"/>
        </w:rPr>
        <w:t>202</w:t>
      </w:r>
      <w:r>
        <w:rPr>
          <w:rFonts w:hint="eastAsia" w:ascii="仿宋_GB2312" w:eastAsia="仿宋_GB2312" w:cs="仿宋_GB2312"/>
          <w:sz w:val="32"/>
          <w:szCs w:val="32"/>
          <w:highlight w:val="none"/>
          <w:lang w:val="en-US" w:eastAsia="zh-CN"/>
        </w:rPr>
        <w:t>5</w:t>
      </w:r>
      <w:r>
        <w:rPr>
          <w:rFonts w:hint="eastAsia" w:ascii="仿宋_GB2312" w:eastAsia="仿宋_GB2312" w:cs="仿宋_GB2312"/>
          <w:sz w:val="32"/>
          <w:szCs w:val="32"/>
          <w:highlight w:val="none"/>
        </w:rPr>
        <w:t>年3月组建了评价工作组，明确了各方职责</w:t>
      </w:r>
      <w:r>
        <w:rPr>
          <w:rFonts w:hint="eastAsia" w:ascii="仿宋_GB2312" w:eastAsia="仿宋_GB2312" w:cs="仿宋_GB2312"/>
          <w:sz w:val="32"/>
          <w:szCs w:val="32"/>
          <w:highlight w:val="none"/>
          <w:lang w:eastAsia="zh-CN"/>
        </w:rPr>
        <w:t>，</w:t>
      </w:r>
      <w:r>
        <w:rPr>
          <w:rFonts w:hint="eastAsia" w:ascii="仿宋_GB2312" w:eastAsia="仿宋_GB2312" w:cs="仿宋_GB2312"/>
          <w:sz w:val="32"/>
          <w:szCs w:val="32"/>
          <w:highlight w:val="none"/>
        </w:rPr>
        <w:t>进行入户，在与项目单位充分沟通的基础上进行项目资料收集、整理和分析工作。</w:t>
      </w:r>
    </w:p>
    <w:p>
      <w:pPr>
        <w:spacing w:line="360" w:lineRule="auto"/>
        <w:ind w:firstLine="643" w:firstLineChars="200"/>
        <w:contextualSpacing/>
        <w:rPr>
          <w:rFonts w:ascii="仿宋_GB2312" w:eastAsia="仿宋_GB2312" w:cs="仿宋_GB2312"/>
          <w:b/>
          <w:bCs/>
          <w:sz w:val="32"/>
          <w:szCs w:val="32"/>
          <w:highlight w:val="none"/>
        </w:rPr>
      </w:pPr>
      <w:r>
        <w:rPr>
          <w:rFonts w:hint="eastAsia" w:ascii="仿宋_GB2312" w:eastAsia="仿宋_GB2312" w:cs="仿宋_GB2312"/>
          <w:b/>
          <w:bCs/>
          <w:sz w:val="32"/>
          <w:szCs w:val="32"/>
          <w:highlight w:val="none"/>
        </w:rPr>
        <w:t>2）制定工作方案，明确时间及进度要求</w:t>
      </w:r>
    </w:p>
    <w:p>
      <w:pPr>
        <w:spacing w:line="360" w:lineRule="auto"/>
        <w:ind w:firstLine="640" w:firstLineChars="200"/>
        <w:contextualSpacing/>
        <w:rPr>
          <w:rFonts w:ascii="仿宋_GB2312" w:eastAsia="仿宋_GB2312" w:cs="仿宋_GB2312"/>
          <w:sz w:val="32"/>
          <w:szCs w:val="32"/>
          <w:highlight w:val="none"/>
        </w:rPr>
      </w:pPr>
      <w:r>
        <w:rPr>
          <w:rFonts w:hint="eastAsia" w:ascii="仿宋_GB2312" w:eastAsia="仿宋_GB2312" w:cs="仿宋_GB2312"/>
          <w:sz w:val="32"/>
          <w:szCs w:val="32"/>
          <w:highlight w:val="none"/>
        </w:rPr>
        <w:t>为了保证按时按质完成绩效评价工作，评价工作组认真研究制定项目绩效评价工作方案。方案中根据本次绩效评价工作的任务和时间要求，确定了绩效评价具体工作内容和进度安排，明确工作内容、责任主体以及时间等事项。</w:t>
      </w:r>
    </w:p>
    <w:p>
      <w:pPr>
        <w:spacing w:line="360" w:lineRule="auto"/>
        <w:ind w:firstLine="643" w:firstLineChars="200"/>
        <w:contextualSpacing/>
        <w:rPr>
          <w:rFonts w:ascii="仿宋_GB2312" w:eastAsia="仿宋_GB2312" w:cs="仿宋_GB2312"/>
          <w:sz w:val="32"/>
          <w:szCs w:val="32"/>
          <w:highlight w:val="none"/>
        </w:rPr>
      </w:pPr>
      <w:r>
        <w:rPr>
          <w:rFonts w:hint="eastAsia" w:ascii="仿宋_GB2312" w:hAnsi="宋体" w:eastAsia="仿宋_GB2312" w:cs="仿宋_GB2312"/>
          <w:b/>
          <w:bCs/>
          <w:sz w:val="32"/>
          <w:szCs w:val="32"/>
          <w:highlight w:val="none"/>
        </w:rPr>
        <w:t>3）辅导项目单位编写绩效报告</w:t>
      </w:r>
    </w:p>
    <w:p>
      <w:pPr>
        <w:spacing w:line="360" w:lineRule="auto"/>
        <w:ind w:firstLine="640" w:firstLineChars="200"/>
        <w:contextualSpacing/>
        <w:rPr>
          <w:rFonts w:ascii="仿宋_GB2312" w:hAnsi="宋体" w:eastAsia="仿宋_GB2312" w:cs="仿宋_GB2312"/>
          <w:b/>
          <w:bCs/>
          <w:sz w:val="32"/>
          <w:szCs w:val="32"/>
          <w:highlight w:val="none"/>
        </w:rPr>
      </w:pPr>
      <w:r>
        <w:rPr>
          <w:rFonts w:hint="eastAsia" w:ascii="仿宋_GB2312" w:hAnsi="仿宋_GB2312" w:eastAsia="仿宋_GB2312" w:cs="仿宋_GB2312"/>
          <w:color w:val="000000"/>
          <w:sz w:val="32"/>
          <w:szCs w:val="32"/>
          <w:highlight w:val="none"/>
        </w:rPr>
        <w:t>通过分析项目资料，深入了解项目工作流程、项目工作内容、项目取得的成果、资金使用状况、现有的项目管理经验和问题等信息，评价工作组结合项目的特点，对绩效报告范本进行了完善和细化，对评价的主要指标和重点内容进行了提示和补充。为了确保绩效报告编报质量和绩效评价工作的顺利开展，评价工作组与项目单位就绩效评价工作安排</w:t>
      </w:r>
      <w:r>
        <w:rPr>
          <w:rFonts w:hint="eastAsia" w:ascii="仿宋_GB2312" w:hAnsi="仿宋_GB2312" w:eastAsia="仿宋_GB2312" w:cs="仿宋_GB2312"/>
          <w:sz w:val="32"/>
          <w:szCs w:val="32"/>
          <w:highlight w:val="none"/>
        </w:rPr>
        <w:t>、资料准备</w:t>
      </w:r>
      <w:r>
        <w:rPr>
          <w:rFonts w:hint="eastAsia" w:ascii="仿宋_GB2312" w:hAnsi="仿宋_GB2312" w:eastAsia="仿宋_GB2312" w:cs="仿宋_GB2312"/>
          <w:color w:val="000000"/>
          <w:sz w:val="32"/>
          <w:szCs w:val="32"/>
          <w:highlight w:val="none"/>
        </w:rPr>
        <w:t>和绩效报告编制工作进行了多次沟通，对提高绩效材料编报质量、顺利完成绩效评价工作起到了促进作用。</w:t>
      </w:r>
    </w:p>
    <w:p>
      <w:pPr>
        <w:spacing w:line="360" w:lineRule="auto"/>
        <w:ind w:firstLine="643" w:firstLineChars="200"/>
        <w:contextualSpacing/>
        <w:rPr>
          <w:rFonts w:ascii="仿宋_GB2312" w:eastAsia="仿宋_GB2312" w:cs="仿宋_GB2312"/>
          <w:b/>
          <w:bCs/>
          <w:sz w:val="32"/>
          <w:szCs w:val="32"/>
          <w:highlight w:val="none"/>
        </w:rPr>
      </w:pPr>
      <w:bookmarkStart w:id="8" w:name="_Toc331420051"/>
      <w:bookmarkStart w:id="9" w:name="_Toc331419439"/>
      <w:r>
        <w:rPr>
          <w:rFonts w:hint="eastAsia" w:ascii="仿宋_GB2312" w:eastAsia="仿宋_GB2312" w:cs="仿宋_GB2312"/>
          <w:b/>
          <w:bCs/>
          <w:sz w:val="32"/>
          <w:szCs w:val="32"/>
          <w:highlight w:val="none"/>
        </w:rPr>
        <w:t>（2）实施阶段</w:t>
      </w:r>
      <w:bookmarkEnd w:id="8"/>
      <w:bookmarkEnd w:id="9"/>
    </w:p>
    <w:p>
      <w:pPr>
        <w:spacing w:line="360" w:lineRule="auto"/>
        <w:ind w:firstLine="643" w:firstLineChars="200"/>
        <w:contextualSpacing/>
        <w:rPr>
          <w:rFonts w:ascii="仿宋_GB2312" w:eastAsia="仿宋_GB2312" w:cs="仿宋_GB2312"/>
          <w:b/>
          <w:bCs/>
          <w:sz w:val="32"/>
          <w:szCs w:val="32"/>
          <w:highlight w:val="none"/>
        </w:rPr>
      </w:pPr>
      <w:bookmarkStart w:id="10" w:name="_Toc331419440"/>
      <w:bookmarkStart w:id="11" w:name="_Toc331420052"/>
      <w:r>
        <w:rPr>
          <w:rFonts w:hint="eastAsia" w:ascii="仿宋_GB2312" w:eastAsia="仿宋_GB2312" w:cs="仿宋_GB2312"/>
          <w:b/>
          <w:bCs/>
          <w:sz w:val="32"/>
          <w:szCs w:val="32"/>
          <w:highlight w:val="none"/>
        </w:rPr>
        <w:t>1）组建绩效评价专家组</w:t>
      </w:r>
      <w:bookmarkEnd w:id="10"/>
      <w:bookmarkEnd w:id="11"/>
    </w:p>
    <w:p>
      <w:pPr>
        <w:spacing w:line="360" w:lineRule="auto"/>
        <w:ind w:firstLine="640" w:firstLineChars="200"/>
        <w:contextualSpacing/>
        <w:rPr>
          <w:rFonts w:ascii="仿宋_GB2312" w:eastAsia="仿宋_GB2312"/>
          <w:color w:val="000000"/>
          <w:sz w:val="32"/>
          <w:szCs w:val="32"/>
          <w:highlight w:val="none"/>
        </w:rPr>
      </w:pPr>
      <w:r>
        <w:rPr>
          <w:rFonts w:hint="eastAsia" w:ascii="仿宋_GB2312" w:hAnsi="仿宋_GB2312" w:eastAsia="仿宋_GB2312" w:cs="仿宋_GB2312"/>
          <w:color w:val="000000"/>
          <w:sz w:val="32"/>
          <w:szCs w:val="32"/>
          <w:highlight w:val="none"/>
        </w:rPr>
        <w:t>在公平公正的前提下，评价工作组选取了从事相关业务领域的业务、管理专家，从技术角度把握项目实际目标完成情况，分析项目实施及管理存在的问题，提出改进建议。本次北京怀柔综合性国家科学中心交叉研究平台运行经费补助项目绩效评价，评价工作组共选择了5位专家，其中管理专家2位，业务专家2位、财务专家1位。</w:t>
      </w:r>
    </w:p>
    <w:p>
      <w:pPr>
        <w:spacing w:line="360" w:lineRule="auto"/>
        <w:ind w:firstLine="803" w:firstLineChars="250"/>
        <w:contextualSpacing/>
        <w:rPr>
          <w:rFonts w:ascii="仿宋_GB2312" w:eastAsia="仿宋_GB2312" w:cs="仿宋_GB2312"/>
          <w:b/>
          <w:bCs/>
          <w:sz w:val="32"/>
          <w:szCs w:val="32"/>
          <w:highlight w:val="none"/>
        </w:rPr>
      </w:pPr>
      <w:r>
        <w:rPr>
          <w:rFonts w:hint="eastAsia" w:ascii="仿宋_GB2312" w:eastAsia="仿宋_GB2312" w:cs="仿宋_GB2312"/>
          <w:b/>
          <w:bCs/>
          <w:sz w:val="32"/>
          <w:szCs w:val="32"/>
          <w:highlight w:val="none"/>
        </w:rPr>
        <w:t>2）培训专家并发放绩效材料</w:t>
      </w:r>
    </w:p>
    <w:p>
      <w:pPr>
        <w:spacing w:line="360" w:lineRule="auto"/>
        <w:ind w:firstLine="800" w:firstLineChars="250"/>
        <w:contextualSpacing/>
        <w:rPr>
          <w:rFonts w:ascii="仿宋_GB2312" w:hAnsi="宋体" w:eastAsia="仿宋_GB2312"/>
          <w:b/>
          <w:bCs/>
          <w:sz w:val="32"/>
          <w:szCs w:val="32"/>
          <w:highlight w:val="none"/>
        </w:rPr>
      </w:pPr>
      <w:r>
        <w:rPr>
          <w:rFonts w:hint="eastAsia" w:ascii="仿宋_GB2312" w:hAnsi="宋体" w:eastAsia="仿宋_GB2312" w:cs="仿宋_GB2312"/>
          <w:sz w:val="32"/>
          <w:szCs w:val="32"/>
          <w:highlight w:val="none"/>
        </w:rPr>
        <w:t>在评价工作开始之前，</w:t>
      </w:r>
      <w:r>
        <w:rPr>
          <w:rFonts w:hint="eastAsia" w:ascii="仿宋_GB2312" w:hAnsi="仿宋_GB2312" w:eastAsia="仿宋_GB2312" w:cs="仿宋_GB2312"/>
          <w:color w:val="000000"/>
          <w:sz w:val="32"/>
          <w:szCs w:val="32"/>
          <w:highlight w:val="none"/>
        </w:rPr>
        <w:t>评价工作组</w:t>
      </w:r>
      <w:r>
        <w:rPr>
          <w:rFonts w:hint="eastAsia" w:ascii="仿宋_GB2312" w:hAnsi="宋体" w:eastAsia="仿宋_GB2312" w:cs="仿宋_GB2312"/>
          <w:sz w:val="32"/>
          <w:szCs w:val="32"/>
          <w:highlight w:val="none"/>
        </w:rPr>
        <w:t>与专家签订“专家承诺书”，要求专家遵守评价规则、保密原则，并对专家进行系统的培训。</w:t>
      </w:r>
      <w:r>
        <w:rPr>
          <w:rFonts w:hint="eastAsia" w:ascii="仿宋_GB2312" w:hAnsi="仿宋_GB2312" w:eastAsia="仿宋_GB2312" w:cs="仿宋_GB2312"/>
          <w:color w:val="000000"/>
          <w:sz w:val="32"/>
          <w:szCs w:val="32"/>
          <w:highlight w:val="none"/>
        </w:rPr>
        <w:t>评价工作组</w:t>
      </w:r>
      <w:r>
        <w:rPr>
          <w:rFonts w:hint="eastAsia" w:ascii="仿宋_GB2312" w:hAnsi="宋体" w:eastAsia="仿宋_GB2312" w:cs="仿宋_GB2312"/>
          <w:sz w:val="32"/>
          <w:szCs w:val="32"/>
          <w:highlight w:val="none"/>
        </w:rPr>
        <w:t>为专家制作了专家工作手册，从绩效评价工作的政策和技术角度向专家介绍了绩效评价指标、评分标准、工作方法、注意事项以及项目单位和项目的基本情况等。将项目单位报送的绩效报告及相关材料发放给专家，请专家熟悉项目情况，便于后续的现场调研及评价</w:t>
      </w:r>
      <w:bookmarkStart w:id="12" w:name="_Toc331420054"/>
      <w:bookmarkStart w:id="13" w:name="_Toc331419442"/>
      <w:r>
        <w:rPr>
          <w:rFonts w:hint="eastAsia" w:ascii="仿宋_GB2312" w:hAnsi="宋体" w:eastAsia="仿宋_GB2312" w:cs="仿宋_GB2312"/>
          <w:sz w:val="32"/>
          <w:szCs w:val="32"/>
          <w:highlight w:val="none"/>
        </w:rPr>
        <w:t>。</w:t>
      </w:r>
      <w:bookmarkEnd w:id="12"/>
      <w:bookmarkEnd w:id="13"/>
    </w:p>
    <w:p>
      <w:pPr>
        <w:spacing w:line="360" w:lineRule="auto"/>
        <w:ind w:firstLine="643" w:firstLineChars="200"/>
        <w:contextualSpacing/>
        <w:rPr>
          <w:rFonts w:ascii="仿宋_GB2312" w:eastAsia="仿宋_GB2312" w:cs="仿宋_GB2312"/>
          <w:b/>
          <w:bCs/>
          <w:sz w:val="32"/>
          <w:szCs w:val="32"/>
          <w:highlight w:val="none"/>
        </w:rPr>
      </w:pPr>
      <w:r>
        <w:rPr>
          <w:rFonts w:hint="eastAsia" w:ascii="仿宋_GB2312" w:eastAsia="仿宋_GB2312" w:cs="仿宋_GB2312"/>
          <w:b/>
          <w:bCs/>
          <w:sz w:val="32"/>
          <w:szCs w:val="32"/>
          <w:highlight w:val="none"/>
        </w:rPr>
        <w:t>（3）分析评价</w:t>
      </w:r>
    </w:p>
    <w:p>
      <w:pPr>
        <w:spacing w:line="360" w:lineRule="auto"/>
        <w:ind w:firstLine="643" w:firstLineChars="200"/>
        <w:contextualSpacing/>
        <w:rPr>
          <w:rFonts w:ascii="仿宋_GB2312" w:eastAsia="仿宋_GB2312" w:cs="仿宋_GB2312"/>
          <w:b/>
          <w:bCs/>
          <w:sz w:val="32"/>
          <w:szCs w:val="32"/>
          <w:highlight w:val="none"/>
        </w:rPr>
      </w:pPr>
      <w:r>
        <w:rPr>
          <w:rFonts w:hint="eastAsia" w:ascii="仿宋_GB2312" w:eastAsia="仿宋_GB2312" w:cs="仿宋_GB2312"/>
          <w:b/>
          <w:bCs/>
          <w:sz w:val="32"/>
          <w:szCs w:val="32"/>
          <w:highlight w:val="none"/>
        </w:rPr>
        <w:t>1）召开现场（视频会议）评价会</w:t>
      </w:r>
    </w:p>
    <w:p>
      <w:pPr>
        <w:spacing w:line="360" w:lineRule="auto"/>
        <w:ind w:firstLine="640" w:firstLineChars="200"/>
        <w:contextualSpacing/>
        <w:rPr>
          <w:rFonts w:ascii="仿宋_GB2312" w:hAnsi="仿宋_GB2312" w:eastAsia="仿宋_GB2312" w:cs="仿宋_GB2312"/>
          <w:color w:val="000000"/>
          <w:sz w:val="32"/>
          <w:szCs w:val="32"/>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月，评价工作组组织召开了腾讯会议视频评价会，</w:t>
      </w:r>
      <w:r>
        <w:rPr>
          <w:rFonts w:hint="eastAsia" w:ascii="仿宋_GB2312" w:hAnsi="仿宋_GB2312" w:eastAsia="仿宋_GB2312" w:cs="仿宋_GB2312"/>
          <w:color w:val="000000"/>
          <w:sz w:val="32"/>
          <w:szCs w:val="32"/>
          <w:highlight w:val="none"/>
        </w:rPr>
        <w:t>由评价工作组、专家组及怀柔科学城管委会等相关人员共同参加。会议就前期</w:t>
      </w:r>
      <w:r>
        <w:rPr>
          <w:rFonts w:hint="eastAsia" w:ascii="仿宋_GB2312" w:hAnsi="仿宋_GB2312" w:eastAsia="仿宋_GB2312" w:cs="仿宋_GB2312"/>
          <w:sz w:val="32"/>
          <w:szCs w:val="32"/>
          <w:highlight w:val="none"/>
        </w:rPr>
        <w:t>收集的资料、</w:t>
      </w:r>
      <w:r>
        <w:rPr>
          <w:rFonts w:hint="eastAsia" w:ascii="仿宋_GB2312" w:hAnsi="仿宋_GB2312" w:eastAsia="仿宋_GB2312" w:cs="仿宋_GB2312"/>
          <w:color w:val="000000"/>
          <w:sz w:val="32"/>
          <w:szCs w:val="32"/>
          <w:highlight w:val="none"/>
        </w:rPr>
        <w:t>了解到的情况及现场评价中发现的情况与怀柔科学城管委会相关人员进行了沟通。</w:t>
      </w:r>
    </w:p>
    <w:p>
      <w:pPr>
        <w:spacing w:line="360" w:lineRule="auto"/>
        <w:ind w:firstLine="643" w:firstLineChars="200"/>
        <w:contextualSpacing/>
        <w:rPr>
          <w:rFonts w:ascii="仿宋_GB2312" w:eastAsia="仿宋_GB2312" w:cs="仿宋_GB2312"/>
          <w:b/>
          <w:bCs/>
          <w:sz w:val="32"/>
          <w:szCs w:val="32"/>
          <w:highlight w:val="none"/>
        </w:rPr>
      </w:pPr>
      <w:r>
        <w:rPr>
          <w:rFonts w:hint="eastAsia" w:ascii="仿宋_GB2312" w:eastAsia="仿宋_GB2312" w:cs="仿宋_GB2312"/>
          <w:b/>
          <w:bCs/>
          <w:sz w:val="32"/>
          <w:szCs w:val="32"/>
          <w:highlight w:val="none"/>
        </w:rPr>
        <w:t>2）形成专家组意见</w:t>
      </w:r>
    </w:p>
    <w:p>
      <w:pPr>
        <w:spacing w:line="360" w:lineRule="auto"/>
        <w:ind w:firstLine="640" w:firstLineChars="200"/>
        <w:contextualSpacing/>
        <w:rPr>
          <w:rFonts w:ascii="仿宋_GB2312" w:eastAsia="仿宋_GB2312"/>
          <w:color w:val="000000"/>
          <w:sz w:val="32"/>
          <w:szCs w:val="32"/>
          <w:highlight w:val="none"/>
        </w:rPr>
      </w:pPr>
      <w:r>
        <w:rPr>
          <w:rFonts w:hint="eastAsia" w:ascii="仿宋_GB2312" w:hAnsi="仿宋_GB2312" w:eastAsia="仿宋_GB2312" w:cs="仿宋_GB2312"/>
          <w:color w:val="000000"/>
          <w:sz w:val="32"/>
          <w:szCs w:val="32"/>
          <w:highlight w:val="none"/>
        </w:rPr>
        <w:t>评价会后，专家出具个人专家意见，并通过讨论形成对项目总体的初步专家组意见。评价工作组对专家意见进行了汇总，形成了最终的专家组意见。</w:t>
      </w:r>
    </w:p>
    <w:p>
      <w:pPr>
        <w:spacing w:line="360" w:lineRule="auto"/>
        <w:ind w:firstLine="643" w:firstLineChars="200"/>
        <w:contextualSpacing/>
        <w:rPr>
          <w:rFonts w:ascii="仿宋_GB2312" w:eastAsia="仿宋_GB2312" w:cs="仿宋_GB2312"/>
          <w:b/>
          <w:bCs/>
          <w:sz w:val="32"/>
          <w:szCs w:val="32"/>
          <w:highlight w:val="none"/>
        </w:rPr>
      </w:pPr>
      <w:r>
        <w:rPr>
          <w:rFonts w:hint="eastAsia" w:ascii="仿宋_GB2312" w:eastAsia="仿宋_GB2312" w:cs="仿宋_GB2312"/>
          <w:b/>
          <w:bCs/>
          <w:sz w:val="32"/>
          <w:szCs w:val="32"/>
          <w:highlight w:val="none"/>
        </w:rPr>
        <w:t>3）撰写并报送评价报告</w:t>
      </w:r>
    </w:p>
    <w:p>
      <w:pPr>
        <w:spacing w:line="360" w:lineRule="auto"/>
        <w:ind w:firstLine="640" w:firstLineChars="200"/>
        <w:contextualSpacing/>
        <w:rPr>
          <w:rFonts w:ascii="仿宋_GB2312" w:eastAsia="仿宋_GB2312" w:cs="仿宋_GB2312"/>
          <w:sz w:val="32"/>
          <w:szCs w:val="32"/>
          <w:highlight w:val="none"/>
        </w:rPr>
      </w:pPr>
      <w:r>
        <w:rPr>
          <w:rFonts w:hint="eastAsia" w:ascii="仿宋_GB2312" w:hAnsi="仿宋_GB2312" w:eastAsia="仿宋_GB2312" w:cs="仿宋_GB2312"/>
          <w:color w:val="000000"/>
          <w:sz w:val="32"/>
          <w:szCs w:val="32"/>
          <w:highlight w:val="none"/>
        </w:rPr>
        <w:t>评价工作组</w:t>
      </w:r>
      <w:r>
        <w:rPr>
          <w:rFonts w:hint="eastAsia" w:ascii="仿宋_GB2312" w:hAnsi="宋体" w:eastAsia="仿宋_GB2312" w:cs="仿宋_GB2312"/>
          <w:sz w:val="32"/>
          <w:szCs w:val="32"/>
          <w:highlight w:val="none"/>
        </w:rPr>
        <w:t>根据专家组意见，撰写评价报告，总结本次评价工作，提交绩效评价报告。</w:t>
      </w:r>
    </w:p>
    <w:p>
      <w:pPr>
        <w:spacing w:line="360" w:lineRule="auto"/>
        <w:ind w:firstLine="643" w:firstLineChars="200"/>
        <w:contextualSpacing/>
        <w:rPr>
          <w:rFonts w:ascii="仿宋_GB2312" w:eastAsia="仿宋_GB2312"/>
          <w:b/>
          <w:sz w:val="32"/>
          <w:szCs w:val="32"/>
          <w:highlight w:val="none"/>
        </w:rPr>
      </w:pPr>
      <w:r>
        <w:rPr>
          <w:rFonts w:hint="eastAsia" w:ascii="仿宋_GB2312" w:eastAsia="仿宋_GB2312"/>
          <w:b/>
          <w:sz w:val="32"/>
          <w:szCs w:val="32"/>
          <w:highlight w:val="none"/>
        </w:rPr>
        <w:t>三</w:t>
      </w:r>
      <w:r>
        <w:rPr>
          <w:rFonts w:hint="eastAsia" w:ascii="仿宋_GB2312" w:eastAsia="仿宋_GB2312"/>
          <w:b/>
          <w:sz w:val="32"/>
          <w:szCs w:val="32"/>
          <w:highlight w:val="none"/>
          <w:lang w:eastAsia="zh-CN"/>
        </w:rPr>
        <w:t>、</w:t>
      </w:r>
      <w:r>
        <w:rPr>
          <w:rFonts w:hint="eastAsia" w:ascii="仿宋_GB2312" w:eastAsia="仿宋_GB2312"/>
          <w:b/>
          <w:sz w:val="32"/>
          <w:szCs w:val="32"/>
          <w:highlight w:val="none"/>
        </w:rPr>
        <w:t>综合评价情况及评价结论（附相关评分表）</w:t>
      </w:r>
    </w:p>
    <w:p>
      <w:pPr>
        <w:spacing w:line="360" w:lineRule="auto"/>
        <w:ind w:firstLine="640" w:firstLineChars="200"/>
        <w:contextualSpacing/>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通过评价，北京怀柔综合性国家科学中心交叉研究平台运行经费补助项目评价综合得分为</w:t>
      </w:r>
      <w:r>
        <w:rPr>
          <w:rFonts w:hint="eastAsia" w:ascii="仿宋_GB2312" w:hAnsi="仿宋_GB2312" w:eastAsia="仿宋_GB2312" w:cs="仿宋_GB2312"/>
          <w:color w:val="000000"/>
          <w:sz w:val="32"/>
          <w:szCs w:val="32"/>
          <w:highlight w:val="none"/>
          <w:lang w:val="en-US" w:eastAsia="zh-CN"/>
        </w:rPr>
        <w:t>89.16</w:t>
      </w:r>
      <w:r>
        <w:rPr>
          <w:rFonts w:hint="eastAsia" w:ascii="仿宋_GB2312" w:hAnsi="仿宋_GB2312" w:eastAsia="仿宋_GB2312" w:cs="仿宋_GB2312"/>
          <w:color w:val="000000"/>
          <w:sz w:val="32"/>
          <w:szCs w:val="32"/>
          <w:highlight w:val="none"/>
        </w:rPr>
        <w:t>分，其中：项目决策</w:t>
      </w:r>
      <w:r>
        <w:rPr>
          <w:rFonts w:hint="eastAsia" w:ascii="仿宋_GB2312" w:hAnsi="仿宋_GB2312" w:eastAsia="仿宋_GB2312" w:cs="仿宋_GB2312"/>
          <w:color w:val="000000"/>
          <w:sz w:val="32"/>
          <w:szCs w:val="32"/>
          <w:highlight w:val="none"/>
          <w:lang w:val="en-US" w:eastAsia="zh-CN"/>
        </w:rPr>
        <w:t>13</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val="en-US" w:eastAsia="zh-CN"/>
        </w:rPr>
        <w:t>40</w:t>
      </w:r>
      <w:r>
        <w:rPr>
          <w:rFonts w:hint="eastAsia" w:ascii="仿宋_GB2312" w:hAnsi="仿宋_GB2312" w:eastAsia="仿宋_GB2312" w:cs="仿宋_GB2312"/>
          <w:color w:val="000000"/>
          <w:sz w:val="32"/>
          <w:szCs w:val="32"/>
          <w:highlight w:val="none"/>
        </w:rPr>
        <w:t>分，项目管理</w:t>
      </w:r>
      <w:r>
        <w:rPr>
          <w:rFonts w:hint="eastAsia" w:ascii="仿宋_GB2312" w:hAnsi="仿宋_GB2312" w:eastAsia="仿宋_GB2312" w:cs="仿宋_GB2312"/>
          <w:color w:val="000000"/>
          <w:sz w:val="32"/>
          <w:szCs w:val="32"/>
          <w:highlight w:val="none"/>
          <w:lang w:val="en-US" w:eastAsia="zh-CN"/>
        </w:rPr>
        <w:t>27.04</w:t>
      </w:r>
      <w:r>
        <w:rPr>
          <w:rFonts w:hint="eastAsia" w:ascii="仿宋_GB2312" w:hAnsi="仿宋_GB2312" w:eastAsia="仿宋_GB2312" w:cs="仿宋_GB2312"/>
          <w:color w:val="000000"/>
          <w:sz w:val="32"/>
          <w:szCs w:val="32"/>
          <w:highlight w:val="none"/>
        </w:rPr>
        <w:t>分，项目绩效4</w:t>
      </w:r>
      <w:r>
        <w:rPr>
          <w:rFonts w:hint="eastAsia" w:ascii="仿宋_GB2312" w:hAnsi="仿宋_GB2312" w:eastAsia="仿宋_GB2312" w:cs="仿宋_GB2312"/>
          <w:color w:val="000000"/>
          <w:sz w:val="32"/>
          <w:szCs w:val="32"/>
          <w:highlight w:val="none"/>
          <w:lang w:val="en-US" w:eastAsia="zh-CN"/>
        </w:rPr>
        <w:t>8</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val="en-US" w:eastAsia="zh-CN"/>
        </w:rPr>
        <w:t>72</w:t>
      </w:r>
      <w:r>
        <w:rPr>
          <w:rFonts w:hint="eastAsia" w:ascii="仿宋_GB2312" w:hAnsi="仿宋_GB2312" w:eastAsia="仿宋_GB2312" w:cs="仿宋_GB2312"/>
          <w:color w:val="000000"/>
          <w:sz w:val="32"/>
          <w:szCs w:val="32"/>
          <w:highlight w:val="none"/>
        </w:rPr>
        <w:t>分，项目绩效评定为“良好”。</w:t>
      </w:r>
    </w:p>
    <w:p>
      <w:pPr>
        <w:spacing w:line="360" w:lineRule="auto"/>
        <w:ind w:firstLine="643" w:firstLineChars="200"/>
        <w:contextualSpacing/>
        <w:rPr>
          <w:rFonts w:ascii="仿宋_GB2312" w:eastAsia="仿宋_GB2312"/>
          <w:b/>
          <w:sz w:val="32"/>
          <w:szCs w:val="32"/>
          <w:highlight w:val="none"/>
        </w:rPr>
      </w:pPr>
      <w:r>
        <w:rPr>
          <w:rFonts w:hint="eastAsia" w:ascii="仿宋_GB2312" w:eastAsia="仿宋_GB2312"/>
          <w:b/>
          <w:sz w:val="32"/>
          <w:szCs w:val="32"/>
          <w:highlight w:val="none"/>
        </w:rPr>
        <w:t>四</w:t>
      </w:r>
      <w:r>
        <w:rPr>
          <w:rFonts w:hint="eastAsia" w:ascii="仿宋_GB2312" w:eastAsia="仿宋_GB2312"/>
          <w:b/>
          <w:sz w:val="32"/>
          <w:szCs w:val="32"/>
          <w:highlight w:val="none"/>
          <w:lang w:eastAsia="zh-CN"/>
        </w:rPr>
        <w:t>、</w:t>
      </w:r>
      <w:r>
        <w:rPr>
          <w:rFonts w:hint="eastAsia" w:ascii="仿宋_GB2312" w:eastAsia="仿宋_GB2312"/>
          <w:b/>
          <w:sz w:val="32"/>
          <w:szCs w:val="32"/>
          <w:highlight w:val="none"/>
        </w:rPr>
        <w:t>绩效评价指标分析</w:t>
      </w:r>
    </w:p>
    <w:p>
      <w:pPr>
        <w:spacing w:line="360" w:lineRule="auto"/>
        <w:ind w:firstLine="643" w:firstLineChars="200"/>
        <w:contextualSpacing/>
        <w:rPr>
          <w:rFonts w:ascii="仿宋_GB2312" w:eastAsia="仿宋_GB2312" w:cs="仿宋_GB2312"/>
          <w:b/>
          <w:bCs/>
          <w:sz w:val="32"/>
          <w:szCs w:val="32"/>
          <w:highlight w:val="none"/>
        </w:rPr>
      </w:pPr>
      <w:r>
        <w:rPr>
          <w:rFonts w:hint="eastAsia" w:ascii="仿宋_GB2312" w:eastAsia="仿宋_GB2312" w:cs="仿宋_GB2312"/>
          <w:b/>
          <w:bCs/>
          <w:sz w:val="32"/>
          <w:szCs w:val="32"/>
          <w:highlight w:val="none"/>
        </w:rPr>
        <w:t>(一)项目决策情况</w:t>
      </w:r>
    </w:p>
    <w:p>
      <w:pPr>
        <w:ind w:firstLine="640" w:firstLineChars="200"/>
        <w:rPr>
          <w:rFonts w:ascii="仿宋_GB2312" w:eastAsia="仿宋_GB2312"/>
          <w:highlight w:val="none"/>
        </w:rPr>
      </w:pPr>
      <w:r>
        <w:rPr>
          <w:rFonts w:hint="eastAsia" w:ascii="仿宋_GB2312" w:eastAsia="仿宋_GB2312"/>
          <w:bCs/>
          <w:sz w:val="32"/>
          <w:szCs w:val="32"/>
          <w:highlight w:val="none"/>
        </w:rPr>
        <w:t>怀柔科学城管委会</w:t>
      </w:r>
      <w:r>
        <w:rPr>
          <w:rFonts w:hint="eastAsia" w:ascii="仿宋_GB2312" w:hAnsi="仿宋_GB2312" w:eastAsia="仿宋_GB2312" w:cs="仿宋_GB2312"/>
          <w:w w:val="95"/>
          <w:sz w:val="32"/>
          <w:szCs w:val="32"/>
          <w:highlight w:val="none"/>
        </w:rPr>
        <w:t>根据《北京怀柔综合性国家科学中心重大科技研发平台项目管理办法》</w:t>
      </w:r>
      <w:r>
        <w:rPr>
          <w:rFonts w:hint="eastAsia" w:ascii="仿宋_GB2312" w:hAnsi="仿宋_GB2312" w:eastAsia="仿宋_GB2312" w:cs="仿宋_GB2312"/>
          <w:w w:val="95"/>
          <w:sz w:val="32"/>
          <w:szCs w:val="32"/>
          <w:highlight w:val="none"/>
          <w:lang w:eastAsia="zh-CN"/>
        </w:rPr>
        <w:t>、</w:t>
      </w:r>
      <w:r>
        <w:rPr>
          <w:rFonts w:hint="eastAsia" w:ascii="仿宋_GB2312" w:hAnsi="仿宋_GB2312" w:eastAsia="仿宋_GB2312" w:cs="仿宋_GB2312"/>
          <w:w w:val="95"/>
          <w:sz w:val="32"/>
          <w:szCs w:val="32"/>
          <w:highlight w:val="none"/>
        </w:rPr>
        <w:t>《北京怀柔综合性国家科学中心交叉研究平台运行经费支持实施细则（试行）》（以下简称《实施细则》）要求，组织开展交叉研究平台运行经费支持评审等相关工作。</w:t>
      </w:r>
    </w:p>
    <w:p>
      <w:pPr>
        <w:ind w:firstLine="640" w:firstLineChars="200"/>
        <w:rPr>
          <w:rFonts w:hint="eastAsia" w:eastAsia="仿宋_GB2312"/>
          <w:highlight w:val="none"/>
          <w:lang w:eastAsia="zh-CN"/>
        </w:rPr>
      </w:pPr>
      <w:r>
        <w:rPr>
          <w:rFonts w:hint="eastAsia" w:ascii="仿宋_GB2312" w:eastAsia="仿宋_GB2312"/>
          <w:bCs/>
          <w:sz w:val="32"/>
          <w:szCs w:val="32"/>
          <w:highlight w:val="none"/>
        </w:rPr>
        <w:t>评价认为，项目绩效目标制定较合理，决策依据</w:t>
      </w:r>
      <w:r>
        <w:rPr>
          <w:rFonts w:hint="eastAsia" w:ascii="仿宋_GB2312" w:eastAsia="仿宋_GB2312"/>
          <w:bCs/>
          <w:sz w:val="32"/>
          <w:szCs w:val="32"/>
          <w:highlight w:val="none"/>
          <w:lang w:val="en-US" w:eastAsia="zh-CN"/>
        </w:rPr>
        <w:t>充分</w:t>
      </w:r>
      <w:r>
        <w:rPr>
          <w:rFonts w:hint="eastAsia" w:ascii="仿宋_GB2312" w:eastAsia="仿宋_GB2312"/>
          <w:bCs/>
          <w:sz w:val="32"/>
          <w:szCs w:val="32"/>
          <w:highlight w:val="none"/>
          <w:lang w:eastAsia="zh-CN"/>
        </w:rPr>
        <w:t>。</w:t>
      </w:r>
    </w:p>
    <w:p>
      <w:pPr>
        <w:spacing w:line="360" w:lineRule="auto"/>
        <w:ind w:firstLine="643" w:firstLineChars="200"/>
        <w:contextualSpacing/>
        <w:rPr>
          <w:rFonts w:ascii="仿宋_GB2312" w:eastAsia="仿宋_GB2312" w:cs="仿宋_GB2312"/>
          <w:b/>
          <w:bCs/>
          <w:sz w:val="32"/>
          <w:szCs w:val="32"/>
          <w:highlight w:val="none"/>
        </w:rPr>
      </w:pPr>
      <w:r>
        <w:rPr>
          <w:rFonts w:hint="eastAsia" w:ascii="仿宋_GB2312" w:eastAsia="仿宋_GB2312" w:cs="仿宋_GB2312"/>
          <w:b/>
          <w:bCs/>
          <w:sz w:val="32"/>
          <w:szCs w:val="32"/>
          <w:highlight w:val="none"/>
        </w:rPr>
        <w:t>（二）项目过程情况</w:t>
      </w:r>
    </w:p>
    <w:p>
      <w:pPr>
        <w:spacing w:line="360" w:lineRule="auto"/>
        <w:ind w:firstLine="643" w:firstLineChars="200"/>
        <w:contextualSpacing/>
        <w:rPr>
          <w:rFonts w:ascii="仿宋_GB2312" w:eastAsia="仿宋_GB2312" w:cs="仿宋_GB2312"/>
          <w:b/>
          <w:bCs/>
          <w:sz w:val="32"/>
          <w:szCs w:val="32"/>
          <w:highlight w:val="none"/>
        </w:rPr>
      </w:pPr>
      <w:r>
        <w:rPr>
          <w:rFonts w:hint="eastAsia" w:ascii="仿宋_GB2312" w:eastAsia="仿宋_GB2312" w:cs="仿宋_GB2312"/>
          <w:b/>
          <w:bCs/>
          <w:sz w:val="32"/>
          <w:szCs w:val="32"/>
          <w:highlight w:val="none"/>
        </w:rPr>
        <w:t xml:space="preserve">1.项目实施过程分析 </w:t>
      </w:r>
    </w:p>
    <w:p>
      <w:pPr>
        <w:ind w:firstLine="640" w:firstLineChars="200"/>
        <w:rPr>
          <w:rFonts w:hint="eastAsia" w:ascii="仿宋_GB2312" w:eastAsia="仿宋_GB2312"/>
          <w:b/>
          <w:kern w:val="44"/>
          <w:sz w:val="32"/>
          <w:szCs w:val="32"/>
          <w:highlight w:val="none"/>
        </w:rPr>
      </w:pPr>
      <w:r>
        <w:rPr>
          <w:rFonts w:hint="eastAsia" w:ascii="仿宋_GB2312" w:hAnsi="仿宋_GB2312" w:eastAsia="仿宋_GB2312" w:cs="仿宋_GB2312"/>
          <w:sz w:val="32"/>
          <w:szCs w:val="32"/>
          <w:highlight w:val="none"/>
          <w:lang w:eastAsia="zh-CN"/>
        </w:rPr>
        <w:t>2024</w:t>
      </w:r>
      <w:r>
        <w:rPr>
          <w:rFonts w:hint="eastAsia" w:ascii="仿宋_GB2312" w:hAnsi="仿宋_GB2312" w:eastAsia="仿宋_GB2312" w:cs="仿宋_GB2312"/>
          <w:sz w:val="32"/>
          <w:szCs w:val="32"/>
          <w:highlight w:val="none"/>
        </w:rPr>
        <w:t>年9月怀柔科学城管委会发布通知，组织申报202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年运行经费支持资金</w:t>
      </w:r>
      <w:r>
        <w:rPr>
          <w:rFonts w:hint="eastAsia" w:ascii="仿宋_GB2312" w:hAnsi="仿宋_GB2312" w:eastAsia="仿宋_GB2312" w:cs="仿宋_GB2312"/>
          <w:sz w:val="32"/>
          <w:szCs w:val="32"/>
          <w:highlight w:val="none"/>
          <w:lang w:val="en-US" w:eastAsia="zh-CN"/>
        </w:rPr>
        <w:t>,并</w:t>
      </w:r>
      <w:r>
        <w:rPr>
          <w:rFonts w:hint="eastAsia" w:ascii="仿宋_GB2312" w:hAnsi="楷体_GB2312" w:eastAsia="仿宋_GB2312" w:cs="楷体_GB2312"/>
          <w:bCs/>
          <w:kern w:val="0"/>
          <w:sz w:val="32"/>
          <w:szCs w:val="32"/>
          <w:highlight w:val="none"/>
        </w:rPr>
        <w:t>高质量组建评审委员会</w:t>
      </w:r>
      <w:r>
        <w:rPr>
          <w:rFonts w:hint="eastAsia" w:ascii="仿宋_GB2312" w:hAnsi="楷体_GB2312" w:eastAsia="仿宋_GB2312" w:cs="楷体_GB2312"/>
          <w:bCs/>
          <w:kern w:val="0"/>
          <w:sz w:val="32"/>
          <w:szCs w:val="32"/>
          <w:highlight w:val="none"/>
          <w:lang w:eastAsia="zh-CN"/>
        </w:rPr>
        <w:t>，</w:t>
      </w:r>
      <w:r>
        <w:rPr>
          <w:rFonts w:hint="eastAsia" w:ascii="仿宋_GB2312" w:hAnsi="仿宋_GB2312" w:eastAsia="仿宋_GB2312" w:cs="仿宋_GB2312"/>
          <w:kern w:val="0"/>
          <w:sz w:val="32"/>
          <w:szCs w:val="32"/>
          <w:highlight w:val="none"/>
        </w:rPr>
        <w:t>组织第三方审计公司进驻平台现场，依据费用支出记账凭证及附件、费用支出明细账进行审计，并出具审计报告。</w:t>
      </w:r>
      <w:r>
        <w:rPr>
          <w:rFonts w:hint="eastAsia" w:ascii="仿宋_GB2312" w:hAnsi="仿宋_GB2312" w:eastAsia="仿宋_GB2312" w:cs="仿宋_GB2312"/>
          <w:sz w:val="32"/>
          <w:szCs w:val="32"/>
          <w:highlight w:val="none"/>
          <w:lang w:eastAsia="zh-CN"/>
        </w:rPr>
        <w:t>2024</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月，组织召开专家评审会</w:t>
      </w:r>
      <w:r>
        <w:rPr>
          <w:rFonts w:hint="eastAsia" w:ascii="仿宋_GB2312" w:hAnsi="仿宋_GB2312" w:eastAsia="仿宋_GB2312" w:cs="仿宋_GB2312"/>
          <w:sz w:val="32"/>
          <w:szCs w:val="32"/>
          <w:highlight w:val="none"/>
          <w:lang w:eastAsia="zh-CN"/>
        </w:rPr>
        <w:t>和现场核查</w:t>
      </w:r>
      <w:r>
        <w:rPr>
          <w:rFonts w:hint="eastAsia" w:ascii="仿宋_GB2312" w:hAnsi="仿宋_GB2312" w:eastAsia="仿宋_GB2312" w:cs="仿宋_GB2312"/>
          <w:sz w:val="32"/>
          <w:szCs w:val="32"/>
          <w:highlight w:val="none"/>
        </w:rPr>
        <w:t>，专家组通过听取平台主体汇报、提问交流、研讨评议、实地考察等环节，结合第三方会计师事务所对平台能源、物业、新增改造等费用</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rPr>
        <w:t>专项审计</w:t>
      </w:r>
      <w:r>
        <w:rPr>
          <w:rFonts w:hint="eastAsia" w:ascii="仿宋_GB2312" w:hAnsi="仿宋_GB2312" w:eastAsia="仿宋_GB2312" w:cs="仿宋_GB2312"/>
          <w:sz w:val="32"/>
          <w:szCs w:val="32"/>
          <w:highlight w:val="none"/>
          <w:lang w:eastAsia="zh-CN"/>
        </w:rPr>
        <w:t>报告</w:t>
      </w:r>
      <w:r>
        <w:rPr>
          <w:rFonts w:hint="eastAsia" w:ascii="仿宋_GB2312" w:hAnsi="仿宋_GB2312" w:eastAsia="仿宋_GB2312" w:cs="仿宋_GB2312"/>
          <w:sz w:val="32"/>
          <w:szCs w:val="32"/>
          <w:highlight w:val="none"/>
        </w:rPr>
        <w:t>，对平台运行情况进行评审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kern w:val="0"/>
          <w:sz w:val="32"/>
          <w:szCs w:val="32"/>
          <w:highlight w:val="none"/>
        </w:rPr>
        <w:t>出具评审意见</w:t>
      </w:r>
      <w:r>
        <w:rPr>
          <w:rFonts w:hint="eastAsia" w:ascii="仿宋_GB2312" w:hAnsi="仿宋_GB2312" w:eastAsia="仿宋_GB2312" w:cs="仿宋_GB2312"/>
          <w:kern w:val="0"/>
          <w:sz w:val="32"/>
          <w:szCs w:val="32"/>
          <w:highlight w:val="none"/>
          <w:lang w:eastAsia="zh-CN"/>
        </w:rPr>
        <w:t>。</w:t>
      </w:r>
      <w:r>
        <w:rPr>
          <w:rFonts w:hint="eastAsia" w:ascii="仿宋_GB2312" w:hAnsi="楷体_GB2312" w:eastAsia="仿宋_GB2312" w:cs="楷体_GB2312"/>
          <w:bCs/>
          <w:kern w:val="0"/>
          <w:sz w:val="32"/>
          <w:szCs w:val="32"/>
          <w:highlight w:val="none"/>
          <w:lang w:eastAsia="zh-CN"/>
        </w:rPr>
        <w:t>经</w:t>
      </w:r>
      <w:r>
        <w:rPr>
          <w:rFonts w:hint="eastAsia" w:ascii="仿宋_GB2312" w:hAnsi="楷体_GB2312" w:eastAsia="仿宋_GB2312" w:cs="楷体_GB2312"/>
          <w:bCs/>
          <w:kern w:val="0"/>
          <w:sz w:val="32"/>
          <w:szCs w:val="32"/>
          <w:highlight w:val="none"/>
        </w:rPr>
        <w:t>提请</w:t>
      </w:r>
      <w:r>
        <w:rPr>
          <w:rFonts w:hint="eastAsia" w:ascii="仿宋_GB2312" w:hAnsi="楷体_GB2312" w:eastAsia="仿宋_GB2312" w:cs="楷体_GB2312"/>
          <w:bCs/>
          <w:kern w:val="0"/>
          <w:sz w:val="32"/>
          <w:szCs w:val="32"/>
          <w:highlight w:val="none"/>
          <w:lang w:eastAsia="zh-CN"/>
        </w:rPr>
        <w:t>会议</w:t>
      </w:r>
      <w:r>
        <w:rPr>
          <w:rFonts w:hint="eastAsia" w:ascii="仿宋_GB2312" w:hAnsi="楷体_GB2312" w:eastAsia="仿宋_GB2312" w:cs="楷体_GB2312"/>
          <w:bCs/>
          <w:kern w:val="0"/>
          <w:sz w:val="32"/>
          <w:szCs w:val="32"/>
          <w:highlight w:val="none"/>
        </w:rPr>
        <w:t>审议</w:t>
      </w:r>
      <w:r>
        <w:rPr>
          <w:rFonts w:hint="eastAsia" w:ascii="仿宋_GB2312" w:hAnsi="楷体_GB2312" w:eastAsia="仿宋_GB2312" w:cs="楷体_GB2312"/>
          <w:bCs/>
          <w:kern w:val="0"/>
          <w:sz w:val="32"/>
          <w:szCs w:val="32"/>
          <w:highlight w:val="none"/>
          <w:lang w:eastAsia="zh-CN"/>
        </w:rPr>
        <w:t>、公示等程序，</w:t>
      </w:r>
      <w:r>
        <w:rPr>
          <w:rFonts w:hint="eastAsia" w:ascii="仿宋_GB2312" w:hAnsi="楷体_GB2312" w:eastAsia="仿宋_GB2312" w:cs="楷体_GB2312"/>
          <w:bCs/>
          <w:kern w:val="0"/>
          <w:sz w:val="32"/>
          <w:szCs w:val="32"/>
          <w:highlight w:val="none"/>
          <w:lang w:val="en-US" w:eastAsia="zh-CN"/>
        </w:rPr>
        <w:t>拨付支持资金共4024万元。</w:t>
      </w:r>
    </w:p>
    <w:p>
      <w:pPr>
        <w:ind w:firstLine="640" w:firstLineChars="20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评价认为，项目实施缺少整体规划</w:t>
      </w:r>
      <w:r>
        <w:rPr>
          <w:rFonts w:hint="eastAsia" w:ascii="仿宋_GB2312" w:hAnsi="仿宋_GB2312" w:eastAsia="仿宋_GB2312" w:cs="仿宋_GB2312"/>
          <w:kern w:val="0"/>
          <w:sz w:val="32"/>
          <w:szCs w:val="32"/>
          <w:highlight w:val="none"/>
          <w:lang w:val="en-US" w:eastAsia="zh-CN"/>
        </w:rPr>
        <w:t>及</w:t>
      </w:r>
      <w:r>
        <w:rPr>
          <w:rFonts w:hint="eastAsia" w:ascii="仿宋_GB2312" w:hAnsi="仿宋_GB2312" w:eastAsia="仿宋_GB2312" w:cs="仿宋_GB2312"/>
          <w:kern w:val="0"/>
          <w:sz w:val="32"/>
          <w:szCs w:val="32"/>
          <w:highlight w:val="none"/>
        </w:rPr>
        <w:t>年度工作重点，对于项目实施总体方向的规范性、指导性不足。</w:t>
      </w:r>
    </w:p>
    <w:p>
      <w:pPr>
        <w:ind w:firstLine="643" w:firstLineChars="200"/>
        <w:rPr>
          <w:rFonts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rPr>
        <w:t>2.项目管理情况分析</w:t>
      </w:r>
    </w:p>
    <w:p>
      <w:pPr>
        <w:ind w:firstLine="643" w:firstLineChars="200"/>
        <w:rPr>
          <w:rFonts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rPr>
        <w:t>（1）项目管理制度建设</w:t>
      </w:r>
    </w:p>
    <w:p>
      <w:pPr>
        <w:ind w:firstLine="640" w:firstLineChars="200"/>
        <w:rPr>
          <w:rFonts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为保障交叉研究平台高效运行，加快科研成果产出，促进科技成果转化落地，有效带动相关产业发展，制订《北京怀柔综合性国家科学中心交叉研究平台运行经费支持实施细则(试行)》，</w:t>
      </w:r>
      <w:r>
        <w:rPr>
          <w:rFonts w:hint="eastAsia" w:ascii="仿宋_GB2312" w:eastAsia="仿宋_GB2312" w:cs="仿宋_GB2312"/>
          <w:color w:val="000000"/>
          <w:sz w:val="32"/>
          <w:szCs w:val="32"/>
          <w:highlight w:val="none"/>
        </w:rPr>
        <w:t>对项目进行程式化管理，保证所有资助金能最大化利用。</w:t>
      </w:r>
    </w:p>
    <w:p>
      <w:pPr>
        <w:ind w:firstLine="640" w:firstLineChars="200"/>
        <w:rPr>
          <w:rFonts w:hint="eastAsia" w:ascii="仿宋_GB2312" w:hAnsi="仿宋_GB2312" w:eastAsia="仿宋_GB2312" w:cs="仿宋_GB2312"/>
          <w:kern w:val="0"/>
          <w:sz w:val="32"/>
          <w:szCs w:val="32"/>
          <w:highlight w:val="none"/>
        </w:rPr>
      </w:pPr>
      <w:r>
        <w:rPr>
          <w:rFonts w:hint="eastAsia" w:ascii="仿宋_GB2312" w:hAnsi="宋体" w:eastAsia="仿宋_GB2312"/>
          <w:sz w:val="32"/>
          <w:szCs w:val="32"/>
          <w:highlight w:val="none"/>
        </w:rPr>
        <w:t>怀柔科学城管委会建立内部控制体系，梳理明确了各经济业务活动流程及环节，从制度上约束项目经费支出，</w:t>
      </w:r>
      <w:r>
        <w:rPr>
          <w:rFonts w:hint="eastAsia" w:ascii="仿宋_GB2312" w:hAnsi="宋体" w:eastAsia="仿宋_GB2312"/>
          <w:color w:val="000000"/>
          <w:sz w:val="32"/>
          <w:szCs w:val="32"/>
          <w:highlight w:val="none"/>
        </w:rPr>
        <w:t>确保能把有限的资金用在刀刃上，提高资金的使用效益，会计核</w:t>
      </w:r>
      <w:r>
        <w:rPr>
          <w:rFonts w:hint="eastAsia" w:ascii="仿宋_GB2312" w:hAnsi="仿宋_GB2312" w:eastAsia="仿宋_GB2312" w:cs="仿宋_GB2312"/>
          <w:kern w:val="0"/>
          <w:sz w:val="32"/>
          <w:szCs w:val="32"/>
          <w:highlight w:val="none"/>
        </w:rPr>
        <w:t>算更加规范，数字更加准确，支付更加及时。</w:t>
      </w:r>
    </w:p>
    <w:p>
      <w:pPr>
        <w:ind w:firstLine="640" w:firstLineChars="200"/>
        <w:rPr>
          <w:rFonts w:hint="eastAsia" w:ascii="仿宋_GB2312" w:eastAsia="仿宋_GB2312"/>
          <w:color w:val="000000"/>
          <w:sz w:val="32"/>
          <w:szCs w:val="32"/>
          <w:highlight w:val="none"/>
          <w:lang w:eastAsia="zh-CN"/>
        </w:rPr>
      </w:pPr>
      <w:r>
        <w:rPr>
          <w:rFonts w:hint="eastAsia" w:ascii="仿宋_GB2312" w:hAnsi="仿宋_GB2312" w:eastAsia="仿宋_GB2312" w:cs="仿宋_GB2312"/>
          <w:kern w:val="0"/>
          <w:sz w:val="32"/>
          <w:szCs w:val="32"/>
          <w:highlight w:val="none"/>
        </w:rPr>
        <w:t>评价认为，项目政策体系</w:t>
      </w:r>
      <w:r>
        <w:rPr>
          <w:rFonts w:hint="eastAsia" w:ascii="仿宋_GB2312" w:hAnsi="仿宋_GB2312" w:eastAsia="仿宋_GB2312" w:cs="仿宋_GB2312"/>
          <w:kern w:val="0"/>
          <w:sz w:val="32"/>
          <w:szCs w:val="32"/>
          <w:highlight w:val="none"/>
          <w:lang w:val="en-US" w:eastAsia="zh-CN"/>
        </w:rPr>
        <w:t>有</w:t>
      </w:r>
      <w:r>
        <w:rPr>
          <w:rFonts w:hint="eastAsia" w:ascii="仿宋_GB2312" w:hAnsi="仿宋_GB2312" w:eastAsia="仿宋_GB2312" w:cs="仿宋_GB2312"/>
          <w:kern w:val="0"/>
          <w:sz w:val="32"/>
          <w:szCs w:val="32"/>
          <w:highlight w:val="none"/>
        </w:rPr>
        <w:t>待</w:t>
      </w:r>
      <w:r>
        <w:rPr>
          <w:rFonts w:hint="eastAsia" w:ascii="仿宋_GB2312" w:hAnsi="仿宋_GB2312" w:eastAsia="仿宋_GB2312" w:cs="仿宋_GB2312"/>
          <w:kern w:val="0"/>
          <w:sz w:val="32"/>
          <w:szCs w:val="32"/>
          <w:highlight w:val="none"/>
          <w:lang w:val="en-US" w:eastAsia="zh-CN"/>
        </w:rPr>
        <w:t>进一步</w:t>
      </w:r>
      <w:r>
        <w:rPr>
          <w:rFonts w:hint="eastAsia" w:ascii="仿宋_GB2312" w:hAnsi="仿宋_GB2312" w:eastAsia="仿宋_GB2312" w:cs="仿宋_GB2312"/>
          <w:kern w:val="0"/>
          <w:sz w:val="32"/>
          <w:szCs w:val="32"/>
          <w:highlight w:val="none"/>
        </w:rPr>
        <w:t>完善</w:t>
      </w:r>
      <w:r>
        <w:rPr>
          <w:rFonts w:hint="eastAsia" w:ascii="仿宋_GB2312" w:hAnsi="仿宋_GB2312" w:eastAsia="仿宋_GB2312" w:cs="仿宋_GB2312"/>
          <w:kern w:val="0"/>
          <w:sz w:val="32"/>
          <w:szCs w:val="32"/>
          <w:highlight w:val="none"/>
          <w:lang w:eastAsia="zh-CN"/>
        </w:rPr>
        <w:t>。</w:t>
      </w:r>
    </w:p>
    <w:p>
      <w:pPr>
        <w:ind w:firstLine="643" w:firstLineChars="200"/>
        <w:rPr>
          <w:rFonts w:hint="eastAsia" w:ascii="仿宋_GB2312" w:hAnsi="仿宋_GB2312" w:eastAsia="仿宋_GB2312" w:cs="仿宋_GB2312"/>
          <w:b/>
          <w:bCs/>
          <w:kern w:val="0"/>
          <w:sz w:val="32"/>
          <w:szCs w:val="32"/>
          <w:highlight w:val="none"/>
        </w:rPr>
      </w:pPr>
      <w:r>
        <w:rPr>
          <w:rFonts w:hint="eastAsia" w:ascii="仿宋_GB2312" w:hAnsi="仿宋_GB2312" w:eastAsia="仿宋_GB2312" w:cs="仿宋_GB2312"/>
          <w:b/>
          <w:bCs/>
          <w:kern w:val="0"/>
          <w:sz w:val="32"/>
          <w:szCs w:val="32"/>
          <w:highlight w:val="none"/>
        </w:rPr>
        <w:t>（2）财务管理制度</w:t>
      </w:r>
    </w:p>
    <w:p>
      <w:pPr>
        <w:ind w:firstLine="640" w:firstLineChars="20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怀柔科学城管委会制定了《北京怀柔科学城管理委员会内部控制手册》、《北京怀柔科学城管理委员会内部控制管理制度》，按照现行会计制度规定和北京市财政局相关要求进行核算，项目的原始凭证和记账手续齐全，所有单据均已入账，明细账、日记账按照相关规定进行登记，会计档案管理符合规定。</w:t>
      </w:r>
    </w:p>
    <w:p>
      <w:pPr>
        <w:ind w:firstLine="640" w:firstLineChars="200"/>
        <w:rPr>
          <w:rFonts w:hint="eastAsia" w:ascii="仿宋_GB2312" w:eastAsia="仿宋_GB2312"/>
          <w:color w:val="000000"/>
          <w:sz w:val="32"/>
          <w:szCs w:val="32"/>
          <w:highlight w:val="none"/>
          <w:lang w:val="en-US" w:eastAsia="zh-CN"/>
        </w:rPr>
      </w:pPr>
      <w:r>
        <w:rPr>
          <w:rFonts w:hint="eastAsia" w:ascii="仿宋_GB2312" w:hAnsi="仿宋_GB2312" w:eastAsia="仿宋_GB2312" w:cs="仿宋_GB2312"/>
          <w:kern w:val="0"/>
          <w:sz w:val="32"/>
          <w:szCs w:val="32"/>
          <w:highlight w:val="none"/>
        </w:rPr>
        <w:t>评价认为，该项目财务管理制度较为健全，项目资金支出审批内控管理制度较完善</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lang w:val="en-US" w:eastAsia="zh-CN"/>
        </w:rPr>
        <w:t>但</w:t>
      </w:r>
      <w:r>
        <w:rPr>
          <w:rFonts w:hint="eastAsia" w:ascii="仿宋_GB2312" w:hAnsi="仿宋_GB2312" w:eastAsia="仿宋_GB2312" w:cs="仿宋_GB2312"/>
          <w:kern w:val="0"/>
          <w:sz w:val="32"/>
          <w:szCs w:val="32"/>
          <w:highlight w:val="none"/>
        </w:rPr>
        <w:t>资金使用监管</w:t>
      </w:r>
      <w:r>
        <w:rPr>
          <w:rFonts w:hint="eastAsia" w:ascii="仿宋_GB2312" w:hAnsi="仿宋_GB2312" w:eastAsia="仿宋_GB2312" w:cs="仿宋_GB2312"/>
          <w:kern w:val="0"/>
          <w:sz w:val="32"/>
          <w:szCs w:val="32"/>
          <w:highlight w:val="none"/>
          <w:lang w:val="en-US" w:eastAsia="zh-CN"/>
        </w:rPr>
        <w:t>执行</w:t>
      </w:r>
      <w:r>
        <w:rPr>
          <w:rFonts w:hint="eastAsia" w:ascii="仿宋_GB2312" w:hAnsi="仿宋_GB2312" w:eastAsia="仿宋_GB2312" w:cs="仿宋_GB2312"/>
          <w:kern w:val="0"/>
          <w:sz w:val="32"/>
          <w:szCs w:val="32"/>
          <w:highlight w:val="none"/>
        </w:rPr>
        <w:t>机制</w:t>
      </w:r>
      <w:r>
        <w:rPr>
          <w:rFonts w:hint="eastAsia" w:ascii="仿宋_GB2312" w:hAnsi="仿宋_GB2312" w:eastAsia="仿宋_GB2312" w:cs="仿宋_GB2312"/>
          <w:kern w:val="0"/>
          <w:sz w:val="32"/>
          <w:szCs w:val="32"/>
          <w:highlight w:val="none"/>
          <w:lang w:val="en-US" w:eastAsia="zh-CN"/>
        </w:rPr>
        <w:t>不到位</w:t>
      </w:r>
      <w:r>
        <w:rPr>
          <w:rFonts w:hint="eastAsia" w:ascii="仿宋_GB2312" w:hAnsi="仿宋_GB2312" w:eastAsia="仿宋_GB2312" w:cs="仿宋_GB2312"/>
          <w:kern w:val="0"/>
          <w:sz w:val="32"/>
          <w:szCs w:val="32"/>
          <w:highlight w:val="none"/>
        </w:rPr>
        <w:t>。</w:t>
      </w:r>
    </w:p>
    <w:p>
      <w:pPr>
        <w:pBdr>
          <w:bottom w:val="single" w:color="FFFFFF" w:sz="4" w:space="31"/>
        </w:pBdr>
        <w:tabs>
          <w:tab w:val="left" w:pos="1440"/>
        </w:tabs>
        <w:spacing w:line="360" w:lineRule="auto"/>
        <w:ind w:firstLine="643" w:firstLineChars="200"/>
        <w:contextualSpacing/>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（3）项目资金管理情况分析</w:t>
      </w:r>
    </w:p>
    <w:p>
      <w:pPr>
        <w:pBdr>
          <w:bottom w:val="single" w:color="FFFFFF" w:sz="4" w:space="31"/>
        </w:pBdr>
        <w:tabs>
          <w:tab w:val="left" w:pos="1440"/>
        </w:tabs>
        <w:spacing w:line="360" w:lineRule="auto"/>
        <w:ind w:firstLine="640" w:firstLineChars="200"/>
        <w:contextualSpacing/>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1）项目资金支持标准，《北京怀柔综合性国家科学中心重大科技研发平台项目管理办法》、《北京怀柔综合性国家科学中心交叉研究平台运行经费支持实施细则（试行）》</w:t>
      </w:r>
      <w:r>
        <w:rPr>
          <w:rFonts w:hint="eastAsia" w:ascii="仿宋_GB2312" w:hAnsi="仿宋_GB2312" w:eastAsia="仿宋_GB2312" w:cs="仿宋_GB2312"/>
          <w:sz w:val="32"/>
          <w:szCs w:val="32"/>
          <w:highlight w:val="none"/>
          <w:lang w:eastAsia="zh-CN"/>
        </w:rPr>
        <w:t>已详细说明：</w:t>
      </w:r>
      <w:r>
        <w:rPr>
          <w:rFonts w:hint="eastAsia" w:ascii="仿宋_GB2312" w:hAnsi="仿宋_GB2312" w:eastAsia="仿宋_GB2312" w:cs="仿宋_GB2312"/>
          <w:sz w:val="32"/>
          <w:szCs w:val="32"/>
          <w:highlight w:val="none"/>
        </w:rPr>
        <w:t>经费支持额度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经费支持类别</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运行保障资金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运行激励资金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经费支持比例</w:t>
      </w:r>
      <w:r>
        <w:rPr>
          <w:rFonts w:hint="eastAsia" w:ascii="仿宋_GB2312" w:hAnsi="仿宋_GB2312" w:eastAsia="仿宋_GB2312" w:cs="仿宋_GB2312"/>
          <w:sz w:val="32"/>
          <w:szCs w:val="32"/>
          <w:highlight w:val="none"/>
          <w:lang w:eastAsia="zh-CN"/>
        </w:rPr>
        <w:t>以及</w:t>
      </w:r>
      <w:r>
        <w:rPr>
          <w:rFonts w:hint="eastAsia" w:ascii="仿宋_GB2312" w:hAnsi="仿宋_GB2312" w:eastAsia="仿宋_GB2312" w:cs="仿宋_GB2312"/>
          <w:sz w:val="32"/>
          <w:szCs w:val="32"/>
          <w:highlight w:val="none"/>
        </w:rPr>
        <w:t>二次激励资金</w:t>
      </w:r>
      <w:r>
        <w:rPr>
          <w:rFonts w:hint="eastAsia" w:ascii="仿宋_GB2312" w:hAnsi="仿宋_GB2312" w:eastAsia="仿宋_GB2312" w:cs="仿宋_GB2312"/>
          <w:sz w:val="32"/>
          <w:szCs w:val="32"/>
          <w:highlight w:val="none"/>
          <w:lang w:eastAsia="zh-CN"/>
        </w:rPr>
        <w:t>等明细标准。</w:t>
      </w:r>
    </w:p>
    <w:p>
      <w:pPr>
        <w:pBdr>
          <w:bottom w:val="single" w:color="FFFFFF" w:sz="4" w:space="31"/>
        </w:pBdr>
        <w:tabs>
          <w:tab w:val="left" w:pos="1440"/>
        </w:tabs>
        <w:spacing w:line="360" w:lineRule="auto"/>
        <w:ind w:firstLine="640" w:firstLineChars="200"/>
        <w:contextualSpacing/>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2）为保障项目的顺利实施和资金安全，项目资金实行专人负责、专账核算，会计核算数据准确，财务资料保存完整。严格按照</w:t>
      </w:r>
      <w:r>
        <w:rPr>
          <w:rFonts w:hint="eastAsia" w:ascii="仿宋_GB2312" w:hAnsi="仿宋_GB2312" w:eastAsia="仿宋_GB2312" w:cs="仿宋_GB2312"/>
          <w:sz w:val="32"/>
          <w:szCs w:val="32"/>
          <w:highlight w:val="none"/>
          <w:lang w:val="en-US" w:eastAsia="zh-CN"/>
        </w:rPr>
        <w:t>北京</w:t>
      </w:r>
      <w:r>
        <w:rPr>
          <w:rFonts w:hint="eastAsia" w:ascii="仿宋_GB2312" w:hAnsi="仿宋_GB2312" w:eastAsia="仿宋_GB2312" w:cs="仿宋_GB2312"/>
          <w:sz w:val="32"/>
          <w:szCs w:val="32"/>
          <w:highlight w:val="none"/>
        </w:rPr>
        <w:t>市财政资金及怀柔科学城管委会有关内控管理制度等规定，资金支付前，由业务部门提出资金使用申请，财务部门审核，确保资金专款专用。资金使用无截留、挪用、虚列支出等情况。</w:t>
      </w:r>
    </w:p>
    <w:p>
      <w:pPr>
        <w:pBdr>
          <w:bottom w:val="single" w:color="FFFFFF" w:sz="4" w:space="31"/>
        </w:pBdr>
        <w:tabs>
          <w:tab w:val="left" w:pos="1440"/>
        </w:tabs>
        <w:spacing w:line="360" w:lineRule="auto"/>
        <w:ind w:firstLine="640" w:firstLineChars="200"/>
        <w:contextualSpacing/>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评价认为，该项目财务核算比较规范，财务手续比较健全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但还存在部分收款方收据不规范的问题</w:t>
      </w:r>
      <w:r>
        <w:rPr>
          <w:rFonts w:hint="eastAsia" w:ascii="仿宋_GB2312" w:hAnsi="仿宋_GB2312" w:eastAsia="仿宋_GB2312" w:cs="仿宋_GB2312"/>
          <w:sz w:val="32"/>
          <w:szCs w:val="32"/>
          <w:highlight w:val="none"/>
          <w:lang w:eastAsia="zh-CN"/>
        </w:rPr>
        <w:t>。</w:t>
      </w:r>
    </w:p>
    <w:p>
      <w:pPr>
        <w:pBdr>
          <w:bottom w:val="single" w:color="FFFFFF" w:sz="4" w:space="31"/>
        </w:pBdr>
        <w:tabs>
          <w:tab w:val="left" w:pos="1440"/>
        </w:tabs>
        <w:spacing w:line="360" w:lineRule="auto"/>
        <w:ind w:firstLine="643" w:firstLineChars="200"/>
        <w:contextualSpacing/>
        <w:rPr>
          <w:rFonts w:ascii="仿宋_GB2312" w:hAnsi="仿宋" w:eastAsia="仿宋_GB2312" w:cs="仿宋"/>
          <w:b/>
          <w:sz w:val="32"/>
          <w:szCs w:val="32"/>
          <w:highlight w:val="none"/>
        </w:rPr>
      </w:pPr>
      <w:r>
        <w:rPr>
          <w:rFonts w:hint="eastAsia" w:ascii="仿宋_GB2312" w:hAnsi="仿宋" w:eastAsia="仿宋_GB2312" w:cs="仿宋"/>
          <w:b/>
          <w:sz w:val="32"/>
          <w:szCs w:val="32"/>
          <w:highlight w:val="none"/>
        </w:rPr>
        <w:t>（三）项目产出情况</w:t>
      </w:r>
    </w:p>
    <w:p>
      <w:pPr>
        <w:pBdr>
          <w:bottom w:val="single" w:color="FFFFFF" w:sz="4" w:space="31"/>
        </w:pBdr>
        <w:tabs>
          <w:tab w:val="left" w:pos="1440"/>
        </w:tabs>
        <w:spacing w:line="360" w:lineRule="auto"/>
        <w:ind w:firstLine="643" w:firstLineChars="200"/>
        <w:contextualSpacing/>
        <w:rPr>
          <w:rFonts w:ascii="仿宋_GB2312" w:eastAsia="仿宋_GB2312"/>
          <w:b/>
          <w:sz w:val="32"/>
          <w:szCs w:val="32"/>
          <w:highlight w:val="none"/>
        </w:rPr>
      </w:pPr>
      <w:r>
        <w:rPr>
          <w:rFonts w:hint="eastAsia" w:ascii="仿宋_GB2312" w:eastAsia="仿宋_GB2312"/>
          <w:b/>
          <w:sz w:val="32"/>
          <w:szCs w:val="32"/>
          <w:highlight w:val="none"/>
        </w:rPr>
        <w:t>1.项目预期目标完成情况</w:t>
      </w:r>
    </w:p>
    <w:p>
      <w:pPr>
        <w:pBdr>
          <w:bottom w:val="single" w:color="FFFFFF" w:sz="4" w:space="31"/>
        </w:pBdr>
        <w:tabs>
          <w:tab w:val="left" w:pos="1440"/>
        </w:tabs>
        <w:spacing w:line="360" w:lineRule="auto"/>
        <w:ind w:firstLine="640" w:firstLineChars="200"/>
        <w:contextualSpacing/>
        <w:rPr>
          <w:rFonts w:hint="eastAsia" w:ascii="仿宋_GB2312" w:eastAsia="仿宋_GB2312"/>
          <w:sz w:val="32"/>
          <w:szCs w:val="32"/>
          <w:highlight w:val="none"/>
        </w:rPr>
      </w:pPr>
      <w:r>
        <w:rPr>
          <w:rFonts w:hint="eastAsia" w:ascii="仿宋_GB2312" w:eastAsia="仿宋_GB2312"/>
          <w:sz w:val="32"/>
          <w:szCs w:val="32"/>
          <w:highlight w:val="none"/>
        </w:rPr>
        <w:t>该项目的实施，最终对清洁能源材料测试诊断与研发平台材料测试诊断与研发平台</w:t>
      </w:r>
      <w:r>
        <w:rPr>
          <w:rFonts w:hint="eastAsia" w:ascii="仿宋_GB2312" w:eastAsia="仿宋_GB2312"/>
          <w:sz w:val="32"/>
          <w:szCs w:val="32"/>
          <w:highlight w:val="none"/>
          <w:lang w:eastAsia="zh-CN"/>
        </w:rPr>
        <w:t>等</w:t>
      </w:r>
      <w:r>
        <w:rPr>
          <w:rFonts w:hint="eastAsia" w:ascii="仿宋_GB2312" w:eastAsia="仿宋_GB2312"/>
          <w:sz w:val="32"/>
          <w:szCs w:val="32"/>
          <w:highlight w:val="none"/>
          <w:lang w:val="en-US" w:eastAsia="zh-CN"/>
        </w:rPr>
        <w:t>7</w:t>
      </w:r>
      <w:r>
        <w:rPr>
          <w:rFonts w:hint="eastAsia" w:ascii="仿宋_GB2312" w:eastAsia="仿宋_GB2312"/>
          <w:sz w:val="32"/>
          <w:szCs w:val="32"/>
          <w:highlight w:val="none"/>
        </w:rPr>
        <w:t>个平台进行评审及发放支持资金。</w:t>
      </w:r>
    </w:p>
    <w:p>
      <w:pPr>
        <w:pBdr>
          <w:bottom w:val="single" w:color="FFFFFF" w:sz="4" w:space="31"/>
        </w:pBdr>
        <w:tabs>
          <w:tab w:val="left" w:pos="1440"/>
        </w:tabs>
        <w:spacing w:line="360" w:lineRule="auto"/>
        <w:ind w:firstLine="640" w:firstLineChars="200"/>
        <w:contextualSpacing/>
        <w:rPr>
          <w:rFonts w:hint="eastAsia" w:ascii="仿宋_GB2312" w:eastAsia="仿宋_GB2312"/>
          <w:sz w:val="32"/>
          <w:szCs w:val="32"/>
          <w:highlight w:val="none"/>
        </w:rPr>
      </w:pPr>
      <w:r>
        <w:rPr>
          <w:rFonts w:hint="eastAsia" w:ascii="仿宋_GB2312" w:eastAsia="仿宋_GB2312"/>
          <w:sz w:val="32"/>
          <w:szCs w:val="32"/>
          <w:highlight w:val="none"/>
        </w:rPr>
        <w:t>评价认为，202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年度该项目预算</w:t>
      </w:r>
      <w:r>
        <w:rPr>
          <w:rFonts w:hint="eastAsia" w:ascii="仿宋_GB2312" w:eastAsia="仿宋_GB2312"/>
          <w:sz w:val="32"/>
          <w:szCs w:val="32"/>
          <w:highlight w:val="none"/>
          <w:lang w:val="en-US" w:eastAsia="zh-CN"/>
        </w:rPr>
        <w:t>总</w:t>
      </w:r>
      <w:r>
        <w:rPr>
          <w:rFonts w:hint="eastAsia" w:ascii="仿宋_GB2312" w:eastAsia="仿宋_GB2312"/>
          <w:sz w:val="32"/>
          <w:szCs w:val="32"/>
          <w:highlight w:val="none"/>
        </w:rPr>
        <w:t>任务</w:t>
      </w:r>
      <w:r>
        <w:rPr>
          <w:rFonts w:hint="eastAsia" w:ascii="仿宋_GB2312" w:eastAsia="仿宋_GB2312"/>
          <w:sz w:val="32"/>
          <w:szCs w:val="32"/>
          <w:highlight w:val="none"/>
          <w:lang w:val="en-US" w:eastAsia="zh-CN"/>
        </w:rPr>
        <w:t>已</w:t>
      </w:r>
      <w:r>
        <w:rPr>
          <w:rFonts w:hint="eastAsia" w:ascii="仿宋_GB2312" w:eastAsia="仿宋_GB2312"/>
          <w:sz w:val="32"/>
          <w:szCs w:val="32"/>
          <w:highlight w:val="none"/>
        </w:rPr>
        <w:t>完成</w:t>
      </w:r>
      <w:r>
        <w:rPr>
          <w:rFonts w:hint="eastAsia" w:ascii="仿宋_GB2312" w:hAnsi="仿宋_GB2312" w:eastAsia="仿宋_GB2312" w:cs="仿宋_GB2312"/>
          <w:sz w:val="32"/>
          <w:szCs w:val="32"/>
          <w:highlight w:val="none"/>
        </w:rPr>
        <w:t>。</w:t>
      </w:r>
    </w:p>
    <w:p>
      <w:pPr>
        <w:pBdr>
          <w:bottom w:val="single" w:color="FFFFFF" w:sz="4" w:space="31"/>
        </w:pBdr>
        <w:tabs>
          <w:tab w:val="left" w:pos="1440"/>
          <w:tab w:val="left" w:pos="6690"/>
        </w:tabs>
        <w:spacing w:line="360" w:lineRule="auto"/>
        <w:ind w:firstLine="643" w:firstLineChars="200"/>
        <w:contextualSpacing/>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2.项目效率性分析</w:t>
      </w:r>
      <w:r>
        <w:rPr>
          <w:rFonts w:ascii="仿宋_GB2312" w:hAnsi="仿宋_GB2312" w:eastAsia="仿宋_GB2312" w:cs="仿宋_GB2312"/>
          <w:b/>
          <w:sz w:val="32"/>
          <w:szCs w:val="32"/>
          <w:highlight w:val="none"/>
        </w:rPr>
        <w:tab/>
      </w:r>
    </w:p>
    <w:p>
      <w:pPr>
        <w:pBdr>
          <w:bottom w:val="single" w:color="FFFFFF" w:sz="4" w:space="31"/>
        </w:pBdr>
        <w:tabs>
          <w:tab w:val="left" w:pos="1440"/>
        </w:tabs>
        <w:spacing w:line="360" w:lineRule="auto"/>
        <w:ind w:firstLine="643" w:firstLineChars="200"/>
        <w:contextualSpacing/>
        <w:rPr>
          <w:rFonts w:ascii="仿宋_GB2312" w:eastAsia="仿宋_GB2312"/>
          <w:b/>
          <w:sz w:val="32"/>
          <w:szCs w:val="32"/>
          <w:highlight w:val="none"/>
        </w:rPr>
      </w:pPr>
      <w:r>
        <w:rPr>
          <w:rFonts w:hint="eastAsia" w:ascii="仿宋_GB2312" w:eastAsia="仿宋_GB2312"/>
          <w:b/>
          <w:sz w:val="32"/>
          <w:szCs w:val="32"/>
          <w:highlight w:val="none"/>
        </w:rPr>
        <w:t>（1）项目的实施进度</w:t>
      </w:r>
    </w:p>
    <w:p>
      <w:pPr>
        <w:pBdr>
          <w:bottom w:val="single" w:color="FFFFFF" w:sz="4" w:space="31"/>
        </w:pBdr>
        <w:tabs>
          <w:tab w:val="left" w:pos="1440"/>
        </w:tabs>
        <w:spacing w:line="360" w:lineRule="auto"/>
        <w:ind w:firstLine="640" w:firstLineChars="200"/>
        <w:contextualSpacing/>
        <w:rPr>
          <w:rFonts w:ascii="仿宋_GB2312" w:eastAsia="仿宋_GB2312"/>
          <w:sz w:val="32"/>
          <w:szCs w:val="32"/>
          <w:highlight w:val="none"/>
        </w:rPr>
      </w:pPr>
      <w:r>
        <w:rPr>
          <w:rFonts w:hint="eastAsia" w:ascii="仿宋_GB2312" w:eastAsia="仿宋_GB2312"/>
          <w:sz w:val="32"/>
          <w:szCs w:val="32"/>
          <w:highlight w:val="none"/>
        </w:rPr>
        <w:t>怀柔科学城管委会按照工作时间安排开展相关工作，如期完成项目，资金按时拨付。</w:t>
      </w:r>
    </w:p>
    <w:p>
      <w:pPr>
        <w:pBdr>
          <w:bottom w:val="single" w:color="FFFFFF" w:sz="4" w:space="31"/>
        </w:pBdr>
        <w:tabs>
          <w:tab w:val="left" w:pos="1440"/>
        </w:tabs>
        <w:spacing w:line="360" w:lineRule="auto"/>
        <w:ind w:firstLine="640" w:firstLineChars="200"/>
        <w:contextualSpacing/>
        <w:rPr>
          <w:rFonts w:ascii="仿宋_GB2312" w:eastAsia="仿宋_GB2312"/>
          <w:sz w:val="32"/>
          <w:szCs w:val="32"/>
          <w:highlight w:val="none"/>
        </w:rPr>
      </w:pPr>
      <w:r>
        <w:rPr>
          <w:rFonts w:hint="eastAsia" w:ascii="仿宋_GB2312" w:eastAsia="仿宋_GB2312"/>
          <w:sz w:val="32"/>
          <w:szCs w:val="32"/>
          <w:highlight w:val="none"/>
        </w:rPr>
        <w:t>评价认为，该项目能够按照实施进度安排完成各阶段任务。</w:t>
      </w:r>
    </w:p>
    <w:p>
      <w:pPr>
        <w:pBdr>
          <w:bottom w:val="single" w:color="FFFFFF" w:sz="4" w:space="31"/>
        </w:pBdr>
        <w:tabs>
          <w:tab w:val="left" w:pos="1440"/>
        </w:tabs>
        <w:spacing w:line="360" w:lineRule="auto"/>
        <w:ind w:firstLine="643" w:firstLineChars="200"/>
        <w:contextualSpacing/>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（2）项目完成质量</w:t>
      </w:r>
    </w:p>
    <w:p>
      <w:pPr>
        <w:pBdr>
          <w:bottom w:val="single" w:color="FFFFFF" w:sz="4" w:space="31"/>
        </w:pBdr>
        <w:tabs>
          <w:tab w:val="left" w:pos="1440"/>
        </w:tabs>
        <w:spacing w:line="360" w:lineRule="auto"/>
        <w:ind w:firstLine="640" w:firstLineChars="200"/>
        <w:contextualSpacing/>
        <w:rPr>
          <w:rFonts w:hint="eastAsia" w:ascii="仿宋_GB2312" w:eastAsia="仿宋_GB2312"/>
          <w:sz w:val="32"/>
          <w:szCs w:val="32"/>
          <w:highlight w:val="none"/>
        </w:rPr>
      </w:pPr>
      <w:r>
        <w:rPr>
          <w:rFonts w:hint="eastAsia" w:ascii="仿宋_GB2312" w:eastAsia="仿宋_GB2312"/>
          <w:sz w:val="32"/>
          <w:szCs w:val="32"/>
          <w:highlight w:val="none"/>
        </w:rPr>
        <w:t>怀柔科学城管委会对项目完成的质量评价标准为：提交的材料合格，符合补助条件及要求，审核达标。</w:t>
      </w:r>
    </w:p>
    <w:p>
      <w:pPr>
        <w:pBdr>
          <w:bottom w:val="single" w:color="FFFFFF" w:sz="4" w:space="31"/>
        </w:pBdr>
        <w:tabs>
          <w:tab w:val="left" w:pos="1440"/>
        </w:tabs>
        <w:spacing w:line="360" w:lineRule="auto"/>
        <w:ind w:firstLine="640" w:firstLineChars="200"/>
        <w:contextualSpacing/>
        <w:rPr>
          <w:rFonts w:hint="eastAsia" w:ascii="仿宋_GB2312" w:eastAsia="仿宋_GB2312"/>
          <w:sz w:val="32"/>
          <w:szCs w:val="32"/>
          <w:highlight w:val="none"/>
        </w:rPr>
      </w:pPr>
      <w:r>
        <w:rPr>
          <w:rFonts w:hint="eastAsia" w:ascii="仿宋_GB2312" w:eastAsia="仿宋_GB2312"/>
          <w:sz w:val="32"/>
          <w:szCs w:val="32"/>
          <w:highlight w:val="none"/>
        </w:rPr>
        <w:t>但实际执行结果为国际子午圈大科学计划总部平台</w:t>
      </w:r>
      <w:r>
        <w:rPr>
          <w:rFonts w:hint="eastAsia" w:ascii="仿宋_GB2312" w:eastAsia="仿宋_GB2312"/>
          <w:sz w:val="32"/>
          <w:szCs w:val="32"/>
          <w:highlight w:val="none"/>
          <w:lang w:val="en-US" w:eastAsia="zh-CN"/>
        </w:rPr>
        <w:t>及高能同步辐射光源配套综合实验楼和用户服务楼平台</w:t>
      </w:r>
      <w:r>
        <w:rPr>
          <w:rFonts w:hint="eastAsia" w:ascii="仿宋_GB2312" w:eastAsia="仿宋_GB2312"/>
          <w:sz w:val="32"/>
          <w:szCs w:val="32"/>
          <w:highlight w:val="none"/>
        </w:rPr>
        <w:t>评审考核结果未按预期达到优，为良，</w:t>
      </w:r>
      <w:r>
        <w:rPr>
          <w:rFonts w:hint="eastAsia" w:ascii="仿宋_GB2312" w:eastAsia="仿宋_GB2312"/>
          <w:sz w:val="32"/>
          <w:szCs w:val="32"/>
          <w:highlight w:val="none"/>
          <w:lang w:val="en-US" w:eastAsia="zh-CN"/>
        </w:rPr>
        <w:t>未</w:t>
      </w:r>
      <w:r>
        <w:rPr>
          <w:rFonts w:hint="eastAsia" w:ascii="仿宋_GB2312" w:eastAsia="仿宋_GB2312"/>
          <w:sz w:val="32"/>
          <w:szCs w:val="32"/>
          <w:highlight w:val="none"/>
        </w:rPr>
        <w:t>能得到100%的资金支持，只得到80%的资金支持。</w:t>
      </w:r>
    </w:p>
    <w:p>
      <w:pPr>
        <w:pBdr>
          <w:bottom w:val="single" w:color="FFFFFF" w:sz="4" w:space="31"/>
        </w:pBdr>
        <w:tabs>
          <w:tab w:val="left" w:pos="1440"/>
        </w:tabs>
        <w:spacing w:line="360" w:lineRule="auto"/>
        <w:ind w:firstLine="640" w:firstLineChars="200"/>
        <w:contextualSpacing/>
        <w:rPr>
          <w:rFonts w:hint="eastAsia" w:ascii="仿宋_GB2312" w:eastAsia="仿宋_GB2312"/>
          <w:sz w:val="32"/>
          <w:szCs w:val="32"/>
          <w:highlight w:val="none"/>
        </w:rPr>
      </w:pPr>
      <w:r>
        <w:rPr>
          <w:rFonts w:hint="eastAsia" w:ascii="仿宋_GB2312" w:eastAsia="仿宋_GB2312"/>
          <w:sz w:val="32"/>
          <w:szCs w:val="32"/>
          <w:highlight w:val="none"/>
        </w:rPr>
        <w:t>评价认为，该项目质量</w:t>
      </w:r>
      <w:r>
        <w:rPr>
          <w:rFonts w:hint="eastAsia" w:ascii="仿宋_GB2312" w:eastAsia="仿宋_GB2312"/>
          <w:sz w:val="32"/>
          <w:szCs w:val="32"/>
          <w:highlight w:val="none"/>
          <w:lang w:val="en-US" w:eastAsia="zh-CN"/>
        </w:rPr>
        <w:t>指标</w:t>
      </w:r>
      <w:r>
        <w:rPr>
          <w:rFonts w:hint="eastAsia" w:ascii="仿宋_GB2312" w:eastAsia="仿宋_GB2312"/>
          <w:sz w:val="32"/>
          <w:szCs w:val="32"/>
          <w:highlight w:val="none"/>
        </w:rPr>
        <w:t>不够明确具体，没有细化量化的指标值，质量指标的刚性约束不足。</w:t>
      </w:r>
    </w:p>
    <w:p>
      <w:pPr>
        <w:pBdr>
          <w:bottom w:val="single" w:color="FFFFFF" w:sz="4" w:space="31"/>
        </w:pBdr>
        <w:tabs>
          <w:tab w:val="left" w:pos="1440"/>
        </w:tabs>
        <w:spacing w:line="360" w:lineRule="auto"/>
        <w:ind w:firstLine="643" w:firstLineChars="200"/>
        <w:contextualSpacing/>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(四)项目效益情况</w:t>
      </w:r>
    </w:p>
    <w:p>
      <w:pPr>
        <w:pBdr>
          <w:bottom w:val="single" w:color="FFFFFF" w:sz="4" w:space="31"/>
        </w:pBdr>
        <w:tabs>
          <w:tab w:val="left" w:pos="1440"/>
        </w:tabs>
        <w:spacing w:line="360" w:lineRule="auto"/>
        <w:ind w:firstLine="643" w:firstLineChars="200"/>
        <w:contextualSpacing/>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1.项目效益性分析</w:t>
      </w:r>
    </w:p>
    <w:p>
      <w:pPr>
        <w:pBdr>
          <w:bottom w:val="single" w:color="FFFFFF" w:sz="4" w:space="31"/>
        </w:pBdr>
        <w:tabs>
          <w:tab w:val="left" w:pos="1440"/>
        </w:tabs>
        <w:spacing w:line="360" w:lineRule="auto"/>
        <w:ind w:firstLine="643" w:firstLineChars="200"/>
        <w:contextualSpacing/>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（1）社会效益分析</w:t>
      </w:r>
    </w:p>
    <w:p>
      <w:pPr>
        <w:pBdr>
          <w:bottom w:val="single" w:color="FFFFFF" w:sz="4" w:space="31"/>
        </w:pBdr>
        <w:tabs>
          <w:tab w:val="left" w:pos="1440"/>
        </w:tabs>
        <w:spacing w:line="360" w:lineRule="auto"/>
        <w:ind w:firstLine="640" w:firstLineChars="200"/>
        <w:contextualSpacing/>
        <w:rPr>
          <w:rFonts w:hint="eastAsia" w:ascii="仿宋_GB2312" w:eastAsia="仿宋_GB2312"/>
          <w:sz w:val="32"/>
          <w:szCs w:val="32"/>
          <w:highlight w:val="none"/>
        </w:rPr>
      </w:pPr>
      <w:r>
        <w:rPr>
          <w:rFonts w:hint="eastAsia" w:ascii="仿宋_GB2312" w:eastAsia="仿宋_GB2312"/>
          <w:sz w:val="32"/>
          <w:szCs w:val="32"/>
          <w:highlight w:val="none"/>
        </w:rPr>
        <w:t>该项目的实施，有效保障了交叉研究平台起步运行，推进平台开放共享，加快科研成果产出，促进了科技成果转化落地。</w:t>
      </w:r>
    </w:p>
    <w:p>
      <w:pPr>
        <w:pBdr>
          <w:bottom w:val="single" w:color="FFFFFF" w:sz="4" w:space="31"/>
        </w:pBdr>
        <w:tabs>
          <w:tab w:val="left" w:pos="1440"/>
        </w:tabs>
        <w:spacing w:line="360" w:lineRule="auto"/>
        <w:ind w:firstLine="640" w:firstLineChars="200"/>
        <w:contextualSpacing/>
        <w:rPr>
          <w:rFonts w:ascii="仿宋_GB2312" w:hAnsi="仿宋_GB2312" w:eastAsia="仿宋_GB2312" w:cs="仿宋_GB2312"/>
          <w:sz w:val="32"/>
          <w:szCs w:val="32"/>
          <w:highlight w:val="none"/>
        </w:rPr>
      </w:pPr>
      <w:r>
        <w:rPr>
          <w:rFonts w:hint="eastAsia" w:ascii="仿宋_GB2312" w:eastAsia="仿宋_GB2312"/>
          <w:sz w:val="32"/>
          <w:szCs w:val="32"/>
          <w:highlight w:val="none"/>
        </w:rPr>
        <w:t>评价认为，该项目社会效益的完成情况体现不够完整，各平台收到资金支持后，取得效益的相关资料梳理</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总结</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呈现不够完整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客观支撑资料不足；缺乏中期绩效跟踪节点，未将阶段性成果（如专利产出、技术转化率收益）与资金拨付挂钩，导致资金效益难以量化，难以动态优化资金流向。</w:t>
      </w:r>
    </w:p>
    <w:p>
      <w:pPr>
        <w:pBdr>
          <w:bottom w:val="single" w:color="FFFFFF" w:sz="4" w:space="31"/>
        </w:pBdr>
        <w:tabs>
          <w:tab w:val="left" w:pos="1440"/>
        </w:tabs>
        <w:spacing w:line="360" w:lineRule="auto"/>
        <w:ind w:firstLine="643" w:firstLineChars="200"/>
        <w:contextualSpacing/>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（2）项目可持续影响分析</w:t>
      </w:r>
    </w:p>
    <w:p>
      <w:pPr>
        <w:pBdr>
          <w:bottom w:val="single" w:color="FFFFFF" w:sz="4" w:space="31"/>
        </w:pBdr>
        <w:tabs>
          <w:tab w:val="left" w:pos="1440"/>
        </w:tabs>
        <w:spacing w:line="360" w:lineRule="auto"/>
        <w:ind w:firstLine="640" w:firstLineChars="200"/>
        <w:contextualSpacing/>
        <w:rPr>
          <w:rFonts w:ascii="仿宋_GB2312" w:eastAsia="仿宋_GB2312"/>
          <w:bCs/>
          <w:sz w:val="32"/>
          <w:szCs w:val="32"/>
          <w:highlight w:val="none"/>
        </w:rPr>
      </w:pPr>
      <w:r>
        <w:rPr>
          <w:rFonts w:hint="eastAsia" w:ascii="仿宋_GB2312" w:eastAsia="仿宋_GB2312"/>
          <w:bCs/>
          <w:sz w:val="32"/>
          <w:szCs w:val="32"/>
          <w:highlight w:val="none"/>
        </w:rPr>
        <w:t>该项目的实施，着力促进北京怀柔综合性国家科学中心重大科技研发平台项目体系化布局、科学化建设、规范化管理、高效化运行、标准化考核，更好服务科技成果转化、促进产业发展。</w:t>
      </w:r>
    </w:p>
    <w:p>
      <w:pPr>
        <w:pBdr>
          <w:bottom w:val="single" w:color="FFFFFF" w:sz="4" w:space="31"/>
        </w:pBdr>
        <w:tabs>
          <w:tab w:val="left" w:pos="1440"/>
        </w:tabs>
        <w:spacing w:line="360" w:lineRule="auto"/>
        <w:ind w:firstLine="640" w:firstLineChars="200"/>
        <w:contextualSpacing/>
        <w:rPr>
          <w:rFonts w:ascii="仿宋_GB2312" w:eastAsia="仿宋_GB2312"/>
          <w:bCs/>
          <w:sz w:val="32"/>
          <w:szCs w:val="32"/>
          <w:highlight w:val="none"/>
        </w:rPr>
      </w:pPr>
      <w:r>
        <w:rPr>
          <w:rFonts w:hint="eastAsia" w:ascii="仿宋_GB2312" w:eastAsia="仿宋_GB2312"/>
          <w:bCs/>
          <w:sz w:val="32"/>
          <w:szCs w:val="32"/>
          <w:highlight w:val="none"/>
        </w:rPr>
        <w:t>评价认为，该项目的实施，预期具有可持续性。</w:t>
      </w:r>
    </w:p>
    <w:p>
      <w:pPr>
        <w:pBdr>
          <w:bottom w:val="single" w:color="FFFFFF" w:sz="4" w:space="31"/>
        </w:pBdr>
        <w:tabs>
          <w:tab w:val="left" w:pos="1440"/>
        </w:tabs>
        <w:spacing w:line="360" w:lineRule="auto"/>
        <w:ind w:firstLine="643" w:firstLineChars="200"/>
        <w:contextualSpacing/>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w:t>
      </w:r>
      <w:r>
        <w:rPr>
          <w:rFonts w:hint="eastAsia" w:ascii="仿宋_GB2312" w:hAnsi="仿宋_GB2312" w:eastAsia="仿宋_GB2312" w:cs="仿宋_GB2312"/>
          <w:b/>
          <w:sz w:val="32"/>
          <w:szCs w:val="32"/>
          <w:highlight w:val="none"/>
          <w:lang w:val="en-US" w:eastAsia="zh-CN"/>
        </w:rPr>
        <w:t>3</w:t>
      </w:r>
      <w:r>
        <w:rPr>
          <w:rFonts w:hint="eastAsia" w:ascii="仿宋_GB2312" w:hAnsi="仿宋_GB2312" w:eastAsia="仿宋_GB2312" w:cs="仿宋_GB2312"/>
          <w:b/>
          <w:sz w:val="32"/>
          <w:szCs w:val="32"/>
          <w:highlight w:val="none"/>
        </w:rPr>
        <w:t>）服务对象满意度分析</w:t>
      </w:r>
    </w:p>
    <w:p>
      <w:pPr>
        <w:pBdr>
          <w:bottom w:val="single" w:color="FFFFFF" w:sz="4" w:space="31"/>
        </w:pBdr>
        <w:tabs>
          <w:tab w:val="left" w:pos="1440"/>
        </w:tabs>
        <w:spacing w:line="360" w:lineRule="auto"/>
        <w:ind w:firstLine="640" w:firstLineChars="200"/>
        <w:contextualSpacing/>
        <w:rPr>
          <w:rFonts w:ascii="仿宋_GB2312" w:hAnsi="仿宋_GB2312" w:eastAsia="仿宋_GB2312" w:cs="仿宋_GB2312"/>
          <w:b/>
          <w:sz w:val="32"/>
          <w:szCs w:val="32"/>
          <w:highlight w:val="none"/>
        </w:rPr>
      </w:pPr>
      <w:r>
        <w:rPr>
          <w:rFonts w:hint="eastAsia" w:ascii="仿宋_GB2312" w:eastAsia="仿宋_GB2312"/>
          <w:bCs/>
          <w:sz w:val="32"/>
          <w:szCs w:val="32"/>
          <w:highlight w:val="none"/>
        </w:rPr>
        <w:t>项目实施完成后，怀柔科学城管委会</w:t>
      </w:r>
      <w:r>
        <w:rPr>
          <w:rFonts w:hint="eastAsia" w:ascii="仿宋_GB2312" w:eastAsia="仿宋_GB2312"/>
          <w:sz w:val="32"/>
          <w:szCs w:val="32"/>
          <w:highlight w:val="none"/>
        </w:rPr>
        <w:t>通过电话回访的方式，对收到支持资金的所有项目单位进行回访，回访满意度达100%。</w:t>
      </w:r>
    </w:p>
    <w:p>
      <w:pPr>
        <w:pBdr>
          <w:bottom w:val="single" w:color="FFFFFF" w:sz="4" w:space="31"/>
        </w:pBdr>
        <w:tabs>
          <w:tab w:val="left" w:pos="1440"/>
        </w:tabs>
        <w:spacing w:line="360" w:lineRule="auto"/>
        <w:ind w:firstLine="640" w:firstLineChars="200"/>
        <w:contextualSpacing/>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评价认为，满意度调查的合理性和科学性不足。</w:t>
      </w:r>
    </w:p>
    <w:p>
      <w:pPr>
        <w:pBdr>
          <w:bottom w:val="single" w:color="FFFFFF" w:sz="4" w:space="31"/>
        </w:pBdr>
        <w:tabs>
          <w:tab w:val="left" w:pos="1440"/>
        </w:tabs>
        <w:spacing w:line="360" w:lineRule="auto"/>
        <w:ind w:firstLine="643" w:firstLineChars="200"/>
        <w:contextualSpacing/>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五</w:t>
      </w:r>
      <w:r>
        <w:rPr>
          <w:rFonts w:hint="eastAsia" w:ascii="仿宋_GB2312" w:hAnsi="仿宋_GB2312" w:eastAsia="仿宋_GB2312" w:cs="仿宋_GB2312"/>
          <w:b/>
          <w:sz w:val="32"/>
          <w:szCs w:val="32"/>
          <w:highlight w:val="none"/>
          <w:lang w:eastAsia="zh-CN"/>
        </w:rPr>
        <w:t>、</w:t>
      </w:r>
      <w:r>
        <w:rPr>
          <w:rFonts w:hint="eastAsia" w:ascii="仿宋_GB2312" w:hAnsi="仿宋_GB2312" w:eastAsia="仿宋_GB2312" w:cs="仿宋_GB2312"/>
          <w:b/>
          <w:sz w:val="32"/>
          <w:szCs w:val="32"/>
          <w:highlight w:val="none"/>
        </w:rPr>
        <w:t>存在的问题及原因分析</w:t>
      </w:r>
    </w:p>
    <w:p>
      <w:pPr>
        <w:pBdr>
          <w:bottom w:val="single" w:color="FFFFFF" w:sz="4" w:space="31"/>
        </w:pBdr>
        <w:tabs>
          <w:tab w:val="left" w:pos="1440"/>
        </w:tabs>
        <w:spacing w:line="360" w:lineRule="auto"/>
        <w:ind w:firstLine="643" w:firstLineChars="200"/>
        <w:contextualSpacing/>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（一）项目缺少整体规划</w:t>
      </w:r>
    </w:p>
    <w:p>
      <w:pPr>
        <w:pBdr>
          <w:bottom w:val="single" w:color="FFFFFF" w:sz="4" w:space="31"/>
        </w:pBdr>
        <w:tabs>
          <w:tab w:val="left" w:pos="1440"/>
        </w:tabs>
        <w:spacing w:line="360" w:lineRule="auto"/>
        <w:ind w:firstLine="640" w:firstLineChars="200"/>
        <w:contextualSpacing/>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项目实施缺少整体规划，各年度工作重点不清晰，对于项目实施总体方向的规范性指导性不足。</w:t>
      </w:r>
    </w:p>
    <w:p>
      <w:pPr>
        <w:pBdr>
          <w:bottom w:val="single" w:color="FFFFFF" w:sz="4" w:space="31"/>
        </w:pBdr>
        <w:tabs>
          <w:tab w:val="left" w:pos="1440"/>
        </w:tabs>
        <w:spacing w:line="360" w:lineRule="auto"/>
        <w:ind w:firstLine="643" w:firstLineChars="200"/>
        <w:contextualSpacing/>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（二）项目单位绩效目标设置不够准确</w:t>
      </w:r>
    </w:p>
    <w:p>
      <w:pPr>
        <w:pBdr>
          <w:bottom w:val="single" w:color="FFFFFF" w:sz="4" w:space="31"/>
        </w:pBdr>
        <w:tabs>
          <w:tab w:val="left" w:pos="1440"/>
        </w:tabs>
        <w:spacing w:line="360" w:lineRule="auto"/>
        <w:ind w:firstLine="640" w:firstLineChars="200"/>
        <w:contextualSpacing/>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单位绩效目标申报表填报不够准确，绩效目标相对宏观，绩效指标设定不够明确清晰，项目绩效指标的合理性不够充分，产出的数量和质量的刚性约束不强。社会效益指标、可持续影响方面未设置具体的绩效指标，各项指标主要为描述性，不易于对项目的实施效果进行比较和考核。</w:t>
      </w:r>
    </w:p>
    <w:p>
      <w:pPr>
        <w:pBdr>
          <w:bottom w:val="single" w:color="FFFFFF" w:sz="4" w:space="31"/>
        </w:pBdr>
        <w:tabs>
          <w:tab w:val="left" w:pos="1440"/>
        </w:tabs>
        <w:spacing w:line="360" w:lineRule="auto"/>
        <w:ind w:firstLine="643" w:firstLineChars="200"/>
        <w:contextualSpacing/>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lang w:eastAsia="zh-CN"/>
        </w:rPr>
        <w:t>（</w:t>
      </w:r>
      <w:r>
        <w:rPr>
          <w:rFonts w:hint="eastAsia" w:ascii="仿宋_GB2312" w:hAnsi="仿宋_GB2312" w:eastAsia="仿宋_GB2312" w:cs="仿宋_GB2312"/>
          <w:b/>
          <w:sz w:val="32"/>
          <w:szCs w:val="32"/>
          <w:highlight w:val="none"/>
          <w:lang w:val="en-US" w:eastAsia="zh-CN"/>
        </w:rPr>
        <w:t>三）</w:t>
      </w:r>
      <w:r>
        <w:rPr>
          <w:rFonts w:hint="eastAsia" w:ascii="仿宋_GB2312" w:hAnsi="仿宋_GB2312" w:eastAsia="仿宋_GB2312" w:cs="仿宋_GB2312"/>
          <w:b/>
          <w:sz w:val="32"/>
          <w:szCs w:val="32"/>
          <w:highlight w:val="none"/>
        </w:rPr>
        <w:t>资金使用监管机制不健全</w:t>
      </w:r>
    </w:p>
    <w:p>
      <w:pPr>
        <w:pBdr>
          <w:bottom w:val="single" w:color="FFFFFF" w:sz="4" w:space="31"/>
        </w:pBdr>
        <w:tabs>
          <w:tab w:val="left" w:pos="1440"/>
        </w:tabs>
        <w:spacing w:line="360" w:lineRule="auto"/>
        <w:ind w:firstLine="640" w:firstLineChars="200"/>
        <w:contextualSpacing/>
        <w:rPr>
          <w:rFonts w:hint="eastAsia" w:ascii="仿宋_GB2312" w:hAnsi="仿宋_GB2312" w:eastAsia="仿宋_GB2312" w:cs="仿宋_GB2312"/>
          <w:b w:val="0"/>
          <w:bCs/>
          <w:sz w:val="32"/>
          <w:szCs w:val="32"/>
          <w:highlight w:val="none"/>
        </w:rPr>
      </w:pPr>
      <w:r>
        <w:rPr>
          <w:rFonts w:hint="eastAsia" w:ascii="仿宋_GB2312" w:hAnsi="仿宋_GB2312" w:eastAsia="仿宋_GB2312" w:cs="仿宋_GB2312"/>
          <w:b w:val="0"/>
          <w:bCs/>
          <w:sz w:val="32"/>
          <w:szCs w:val="32"/>
          <w:highlight w:val="none"/>
        </w:rPr>
        <w:t>资金使用监管</w:t>
      </w:r>
      <w:r>
        <w:rPr>
          <w:rFonts w:hint="eastAsia" w:ascii="仿宋_GB2312" w:hAnsi="仿宋_GB2312" w:eastAsia="仿宋_GB2312" w:cs="仿宋_GB2312"/>
          <w:b w:val="0"/>
          <w:bCs/>
          <w:sz w:val="32"/>
          <w:szCs w:val="32"/>
          <w:highlight w:val="none"/>
          <w:lang w:val="en-US" w:eastAsia="zh-CN"/>
        </w:rPr>
        <w:t>不到位</w:t>
      </w:r>
      <w:r>
        <w:rPr>
          <w:rFonts w:hint="eastAsia" w:ascii="仿宋_GB2312" w:hAnsi="仿宋_GB2312" w:eastAsia="仿宋_GB2312" w:cs="仿宋_GB2312"/>
          <w:b w:val="0"/>
          <w:bCs/>
          <w:sz w:val="32"/>
          <w:szCs w:val="32"/>
          <w:highlight w:val="none"/>
        </w:rPr>
        <w:t>，缺乏实时动态监控</w:t>
      </w:r>
      <w:r>
        <w:rPr>
          <w:rFonts w:hint="eastAsia" w:ascii="仿宋_GB2312" w:hAnsi="仿宋_GB2312" w:eastAsia="仿宋_GB2312" w:cs="仿宋_GB2312"/>
          <w:b w:val="0"/>
          <w:bCs/>
          <w:sz w:val="32"/>
          <w:szCs w:val="32"/>
          <w:highlight w:val="none"/>
          <w:lang w:eastAsia="zh-CN"/>
        </w:rPr>
        <w:t>。</w:t>
      </w:r>
      <w:r>
        <w:rPr>
          <w:rFonts w:hint="eastAsia" w:ascii="仿宋_GB2312" w:hAnsi="仿宋_GB2312" w:eastAsia="仿宋_GB2312" w:cs="仿宋_GB2312"/>
          <w:b w:val="0"/>
          <w:bCs/>
          <w:sz w:val="32"/>
          <w:szCs w:val="32"/>
          <w:highlight w:val="none"/>
          <w:lang w:val="en-US" w:eastAsia="zh-CN"/>
        </w:rPr>
        <w:t>未</w:t>
      </w:r>
      <w:r>
        <w:rPr>
          <w:rFonts w:hint="eastAsia" w:ascii="仿宋_GB2312" w:hAnsi="仿宋_GB2312" w:eastAsia="仿宋_GB2312" w:cs="仿宋_GB2312"/>
          <w:b w:val="0"/>
          <w:bCs/>
          <w:sz w:val="32"/>
          <w:szCs w:val="32"/>
          <w:highlight w:val="none"/>
        </w:rPr>
        <w:t>按照</w:t>
      </w:r>
      <w:r>
        <w:rPr>
          <w:rFonts w:hint="eastAsia" w:ascii="仿宋_GB2312" w:hAnsi="仿宋_GB2312" w:eastAsia="仿宋_GB2312" w:cs="仿宋_GB2312"/>
          <w:b w:val="0"/>
          <w:bCs/>
          <w:sz w:val="32"/>
          <w:szCs w:val="32"/>
          <w:highlight w:val="none"/>
          <w:lang w:val="en-US" w:eastAsia="zh-CN"/>
        </w:rPr>
        <w:t>制度</w:t>
      </w:r>
      <w:r>
        <w:rPr>
          <w:rFonts w:hint="eastAsia" w:ascii="仿宋_GB2312" w:hAnsi="仿宋_GB2312" w:eastAsia="仿宋_GB2312" w:cs="仿宋_GB2312"/>
          <w:b w:val="0"/>
          <w:bCs/>
          <w:sz w:val="32"/>
          <w:szCs w:val="32"/>
          <w:highlight w:val="none"/>
        </w:rPr>
        <w:t>规定流程开展监督检查，</w:t>
      </w:r>
      <w:r>
        <w:rPr>
          <w:rFonts w:hint="eastAsia" w:ascii="仿宋_GB2312" w:hAnsi="仿宋_GB2312" w:eastAsia="仿宋_GB2312" w:cs="仿宋_GB2312"/>
          <w:b w:val="0"/>
          <w:bCs/>
          <w:sz w:val="32"/>
          <w:szCs w:val="32"/>
          <w:highlight w:val="none"/>
          <w:lang w:val="en-US" w:eastAsia="zh-CN"/>
        </w:rPr>
        <w:t>未</w:t>
      </w:r>
      <w:r>
        <w:rPr>
          <w:rFonts w:hint="eastAsia" w:ascii="仿宋_GB2312" w:hAnsi="仿宋_GB2312" w:eastAsia="仿宋_GB2312" w:cs="仿宋_GB2312"/>
          <w:b w:val="0"/>
          <w:bCs/>
          <w:sz w:val="32"/>
          <w:szCs w:val="32"/>
          <w:highlight w:val="none"/>
        </w:rPr>
        <w:t>对平台运行经费</w:t>
      </w:r>
      <w:r>
        <w:rPr>
          <w:rFonts w:hint="eastAsia" w:ascii="仿宋_GB2312" w:hAnsi="仿宋_GB2312" w:eastAsia="仿宋_GB2312" w:cs="仿宋_GB2312"/>
          <w:b w:val="0"/>
          <w:bCs/>
          <w:sz w:val="32"/>
          <w:szCs w:val="32"/>
          <w:highlight w:val="none"/>
          <w:lang w:val="en-US" w:eastAsia="zh-CN"/>
        </w:rPr>
        <w:t>的</w:t>
      </w:r>
      <w:r>
        <w:rPr>
          <w:rFonts w:hint="eastAsia" w:ascii="仿宋_GB2312" w:hAnsi="仿宋_GB2312" w:eastAsia="仿宋_GB2312" w:cs="仿宋_GB2312"/>
          <w:b w:val="0"/>
          <w:bCs/>
          <w:sz w:val="32"/>
          <w:szCs w:val="32"/>
          <w:highlight w:val="none"/>
        </w:rPr>
        <w:t>使用</w:t>
      </w:r>
      <w:r>
        <w:rPr>
          <w:rFonts w:hint="eastAsia" w:ascii="仿宋_GB2312" w:hAnsi="仿宋_GB2312" w:eastAsia="仿宋_GB2312" w:cs="仿宋_GB2312"/>
          <w:b w:val="0"/>
          <w:bCs/>
          <w:sz w:val="32"/>
          <w:szCs w:val="32"/>
          <w:highlight w:val="none"/>
          <w:lang w:val="en-US" w:eastAsia="zh-CN"/>
        </w:rPr>
        <w:t>进行</w:t>
      </w:r>
      <w:r>
        <w:rPr>
          <w:rFonts w:hint="eastAsia" w:ascii="仿宋_GB2312" w:hAnsi="仿宋_GB2312" w:eastAsia="仿宋_GB2312" w:cs="仿宋_GB2312"/>
          <w:b w:val="0"/>
          <w:bCs/>
          <w:sz w:val="32"/>
          <w:szCs w:val="32"/>
          <w:highlight w:val="none"/>
        </w:rPr>
        <w:t>检查和监督。</w:t>
      </w:r>
    </w:p>
    <w:p>
      <w:pPr>
        <w:pBdr>
          <w:bottom w:val="single" w:color="FFFFFF" w:sz="4" w:space="31"/>
        </w:pBdr>
        <w:tabs>
          <w:tab w:val="left" w:pos="1440"/>
        </w:tabs>
        <w:spacing w:line="360" w:lineRule="auto"/>
        <w:ind w:firstLine="643" w:firstLineChars="200"/>
        <w:contextualSpacing/>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w:t>
      </w:r>
      <w:r>
        <w:rPr>
          <w:rFonts w:hint="eastAsia" w:ascii="仿宋_GB2312" w:hAnsi="仿宋_GB2312" w:eastAsia="仿宋_GB2312" w:cs="仿宋_GB2312"/>
          <w:b/>
          <w:sz w:val="32"/>
          <w:szCs w:val="32"/>
          <w:highlight w:val="none"/>
          <w:lang w:val="en-US" w:eastAsia="zh-CN"/>
        </w:rPr>
        <w:t>四</w:t>
      </w:r>
      <w:r>
        <w:rPr>
          <w:rFonts w:hint="eastAsia" w:ascii="仿宋_GB2312" w:hAnsi="仿宋_GB2312" w:eastAsia="仿宋_GB2312" w:cs="仿宋_GB2312"/>
          <w:b/>
          <w:sz w:val="32"/>
          <w:szCs w:val="32"/>
          <w:highlight w:val="none"/>
        </w:rPr>
        <w:t>）公开度不足，满意度调查的合理性、科学性不足</w:t>
      </w:r>
    </w:p>
    <w:p>
      <w:pPr>
        <w:pBdr>
          <w:bottom w:val="single" w:color="FFFFFF" w:sz="4" w:space="31"/>
        </w:pBdr>
        <w:tabs>
          <w:tab w:val="left" w:pos="1440"/>
        </w:tabs>
        <w:spacing w:line="360" w:lineRule="auto"/>
        <w:ind w:firstLine="640" w:firstLineChars="200"/>
        <w:contextualSpacing/>
        <w:rPr>
          <w:rFonts w:hint="eastAsia" w:ascii="仿宋_GB2312" w:hAnsi="仿宋_GB2312" w:eastAsia="仿宋_GB2312" w:cs="仿宋_GB2312"/>
          <w:b w:val="0"/>
          <w:bCs/>
          <w:sz w:val="32"/>
          <w:szCs w:val="32"/>
          <w:highlight w:val="none"/>
        </w:rPr>
      </w:pPr>
      <w:r>
        <w:rPr>
          <w:rFonts w:hint="eastAsia" w:ascii="仿宋_GB2312" w:hAnsi="仿宋_GB2312" w:eastAsia="仿宋_GB2312" w:cs="仿宋_GB2312"/>
          <w:sz w:val="32"/>
          <w:szCs w:val="32"/>
          <w:highlight w:val="none"/>
        </w:rPr>
        <w:t>经费支持的公示范围不够宽泛，公开度不足，未通过网络公示或其他平台进行公示。未充分考虑到向上下游合作单位、</w:t>
      </w:r>
      <w:r>
        <w:rPr>
          <w:rFonts w:hint="eastAsia" w:ascii="仿宋_GB2312" w:hAnsi="仿宋_GB2312" w:eastAsia="仿宋_GB2312" w:cs="仿宋_GB2312"/>
          <w:sz w:val="32"/>
          <w:szCs w:val="32"/>
          <w:highlight w:val="none"/>
          <w:lang w:val="en-US" w:eastAsia="zh-CN"/>
        </w:rPr>
        <w:t>其他</w:t>
      </w:r>
      <w:r>
        <w:rPr>
          <w:rFonts w:hint="eastAsia" w:ascii="仿宋_GB2312" w:hAnsi="仿宋_GB2312" w:eastAsia="仿宋_GB2312" w:cs="仿宋_GB2312"/>
          <w:sz w:val="32"/>
          <w:szCs w:val="32"/>
          <w:highlight w:val="none"/>
        </w:rPr>
        <w:t>科研机构、第三方评估机构</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平台服务用户</w:t>
      </w:r>
      <w:r>
        <w:rPr>
          <w:rFonts w:hint="eastAsia" w:ascii="仿宋_GB2312" w:hAnsi="仿宋_GB2312" w:eastAsia="仿宋_GB2312" w:cs="仿宋_GB2312"/>
          <w:sz w:val="32"/>
          <w:szCs w:val="32"/>
          <w:highlight w:val="none"/>
          <w:lang w:val="en-US" w:eastAsia="zh-CN"/>
        </w:rPr>
        <w:t>等</w:t>
      </w:r>
      <w:r>
        <w:rPr>
          <w:rFonts w:hint="eastAsia" w:ascii="仿宋_GB2312" w:hAnsi="仿宋_GB2312" w:eastAsia="仿宋_GB2312" w:cs="仿宋_GB2312"/>
          <w:sz w:val="32"/>
          <w:szCs w:val="32"/>
          <w:highlight w:val="none"/>
        </w:rPr>
        <w:t>征询意见，因此项目受益服务对象涵盖范围不够全面</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w:t>
      </w:r>
    </w:p>
    <w:p>
      <w:pPr>
        <w:pBdr>
          <w:bottom w:val="single" w:color="FFFFFF" w:sz="4" w:space="31"/>
        </w:pBdr>
        <w:tabs>
          <w:tab w:val="left" w:pos="1440"/>
        </w:tabs>
        <w:spacing w:line="360" w:lineRule="auto"/>
        <w:ind w:firstLine="643" w:firstLineChars="200"/>
        <w:contextualSpacing/>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六</w:t>
      </w:r>
      <w:r>
        <w:rPr>
          <w:rFonts w:hint="eastAsia" w:ascii="仿宋_GB2312" w:hAnsi="仿宋_GB2312" w:eastAsia="仿宋_GB2312" w:cs="仿宋_GB2312"/>
          <w:b/>
          <w:sz w:val="32"/>
          <w:szCs w:val="32"/>
          <w:highlight w:val="none"/>
          <w:lang w:eastAsia="zh-CN"/>
        </w:rPr>
        <w:t>、</w:t>
      </w:r>
      <w:r>
        <w:rPr>
          <w:rFonts w:hint="eastAsia" w:ascii="仿宋_GB2312" w:hAnsi="仿宋_GB2312" w:eastAsia="仿宋_GB2312" w:cs="仿宋_GB2312"/>
          <w:b/>
          <w:sz w:val="32"/>
          <w:szCs w:val="32"/>
          <w:highlight w:val="none"/>
        </w:rPr>
        <w:t>有关建议</w:t>
      </w:r>
    </w:p>
    <w:p>
      <w:pPr>
        <w:pBdr>
          <w:bottom w:val="single" w:color="FFFFFF" w:sz="4" w:space="31"/>
        </w:pBdr>
        <w:tabs>
          <w:tab w:val="left" w:pos="1440"/>
        </w:tabs>
        <w:spacing w:line="360" w:lineRule="auto"/>
        <w:ind w:firstLine="643" w:firstLineChars="200"/>
        <w:contextualSpacing/>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（一）制定项目</w:t>
      </w:r>
      <w:r>
        <w:rPr>
          <w:rFonts w:hint="eastAsia" w:ascii="仿宋_GB2312" w:eastAsia="仿宋_GB2312"/>
          <w:b/>
          <w:color w:val="000000"/>
          <w:sz w:val="32"/>
          <w:szCs w:val="32"/>
          <w:highlight w:val="none"/>
        </w:rPr>
        <w:t>整体规划</w:t>
      </w:r>
      <w:r>
        <w:rPr>
          <w:rFonts w:hint="eastAsia" w:ascii="仿宋_GB2312" w:hAnsi="仿宋_GB2312" w:eastAsia="仿宋_GB2312" w:cs="仿宋_GB2312"/>
          <w:b/>
          <w:sz w:val="32"/>
          <w:szCs w:val="32"/>
          <w:highlight w:val="none"/>
        </w:rPr>
        <w:t>，提高项目执行保障</w:t>
      </w:r>
    </w:p>
    <w:p>
      <w:pPr>
        <w:pBdr>
          <w:bottom w:val="single" w:color="FFFFFF" w:sz="4" w:space="31"/>
        </w:pBdr>
        <w:tabs>
          <w:tab w:val="left" w:pos="1440"/>
        </w:tabs>
        <w:spacing w:line="360" w:lineRule="auto"/>
        <w:ind w:firstLine="640" w:firstLineChars="200"/>
        <w:contextualSpacing/>
        <w:rPr>
          <w:rFonts w:ascii="仿宋_GB2312" w:eastAsia="仿宋_GB2312"/>
          <w:color w:val="000000"/>
          <w:sz w:val="32"/>
          <w:szCs w:val="32"/>
          <w:highlight w:val="none"/>
        </w:rPr>
      </w:pPr>
      <w:r>
        <w:rPr>
          <w:rFonts w:hint="eastAsia" w:ascii="仿宋_GB2312" w:eastAsia="仿宋_GB2312"/>
          <w:color w:val="000000"/>
          <w:sz w:val="32"/>
          <w:szCs w:val="32"/>
          <w:highlight w:val="none"/>
        </w:rPr>
        <w:t>建议项目单位制定项目整体规划，明确项目各年度工作重点，明确规范项目实施的总体方向，</w:t>
      </w:r>
      <w:r>
        <w:rPr>
          <w:rFonts w:hint="eastAsia" w:ascii="仿宋_GB2312" w:hAnsi="仿宋_GB2312" w:eastAsia="仿宋_GB2312" w:cs="仿宋_GB2312"/>
          <w:sz w:val="32"/>
          <w:szCs w:val="32"/>
          <w:highlight w:val="none"/>
        </w:rPr>
        <w:t>提高项目执行保障。</w:t>
      </w:r>
    </w:p>
    <w:p>
      <w:pPr>
        <w:pBdr>
          <w:bottom w:val="single" w:color="FFFFFF" w:sz="4" w:space="31"/>
        </w:pBdr>
        <w:tabs>
          <w:tab w:val="left" w:pos="1440"/>
        </w:tabs>
        <w:spacing w:line="360" w:lineRule="auto"/>
        <w:ind w:firstLine="643" w:firstLineChars="200"/>
        <w:contextualSpacing/>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（二）提高绩效意识，规范填报项目申报书及绩效目标申报表</w:t>
      </w:r>
    </w:p>
    <w:p>
      <w:pPr>
        <w:pBdr>
          <w:bottom w:val="single" w:color="FFFFFF" w:sz="4" w:space="31"/>
        </w:pBdr>
        <w:tabs>
          <w:tab w:val="left" w:pos="1440"/>
        </w:tabs>
        <w:spacing w:line="360" w:lineRule="auto"/>
        <w:ind w:firstLine="640" w:firstLineChars="200"/>
        <w:contextualSpacing/>
        <w:rPr>
          <w:rFonts w:ascii="仿宋_GB2312" w:eastAsia="仿宋_GB2312"/>
          <w:color w:val="000000"/>
          <w:sz w:val="32"/>
          <w:szCs w:val="32"/>
          <w:highlight w:val="none"/>
        </w:rPr>
      </w:pPr>
      <w:r>
        <w:rPr>
          <w:rFonts w:hint="eastAsia" w:ascii="仿宋_GB2312" w:eastAsia="仿宋_GB2312"/>
          <w:color w:val="000000"/>
          <w:sz w:val="32"/>
          <w:szCs w:val="32"/>
          <w:highlight w:val="none"/>
        </w:rPr>
        <w:t>建议项目单位提高绩效意识，强化项目管理，严格按规定编制项目绩效目标，细化量化绩效指标，提高项目绩效指标的可考量性，强化产出的数量和质量的约束，建立科学、合理的绩效目标体系。</w:t>
      </w:r>
    </w:p>
    <w:p>
      <w:pPr>
        <w:pBdr>
          <w:bottom w:val="single" w:color="FFFFFF" w:sz="4" w:space="31"/>
        </w:pBdr>
        <w:tabs>
          <w:tab w:val="left" w:pos="1440"/>
        </w:tabs>
        <w:spacing w:line="360" w:lineRule="auto"/>
        <w:ind w:firstLine="643" w:firstLineChars="200"/>
        <w:contextualSpacing/>
        <w:rPr>
          <w:rFonts w:hint="eastAsia" w:ascii="仿宋_GB2312" w:eastAsia="仿宋_GB2312"/>
          <w:b/>
          <w:color w:val="000000"/>
          <w:sz w:val="32"/>
          <w:szCs w:val="32"/>
          <w:highlight w:val="none"/>
        </w:rPr>
      </w:pPr>
      <w:r>
        <w:rPr>
          <w:rFonts w:hint="eastAsia" w:ascii="仿宋_GB2312" w:eastAsia="仿宋_GB2312"/>
          <w:b/>
          <w:color w:val="000000"/>
          <w:sz w:val="32"/>
          <w:szCs w:val="32"/>
          <w:highlight w:val="none"/>
          <w:lang w:eastAsia="zh-CN"/>
        </w:rPr>
        <w:t>（</w:t>
      </w:r>
      <w:r>
        <w:rPr>
          <w:rFonts w:hint="eastAsia" w:ascii="仿宋_GB2312" w:eastAsia="仿宋_GB2312"/>
          <w:b/>
          <w:color w:val="000000"/>
          <w:sz w:val="32"/>
          <w:szCs w:val="32"/>
          <w:highlight w:val="none"/>
          <w:lang w:val="en-US" w:eastAsia="zh-CN"/>
        </w:rPr>
        <w:t>四）</w:t>
      </w:r>
      <w:r>
        <w:rPr>
          <w:rFonts w:hint="eastAsia" w:ascii="仿宋_GB2312" w:eastAsia="仿宋_GB2312"/>
          <w:b/>
          <w:color w:val="000000"/>
          <w:sz w:val="32"/>
          <w:szCs w:val="32"/>
          <w:highlight w:val="none"/>
        </w:rPr>
        <w:t>建立动态跟踪与反馈机制，强化立项论证与动态调整机制</w:t>
      </w:r>
      <w:r>
        <w:rPr>
          <w:rFonts w:hint="eastAsia" w:ascii="仿宋_GB2312" w:eastAsia="仿宋_GB2312"/>
          <w:b/>
          <w:color w:val="000000"/>
          <w:sz w:val="32"/>
          <w:szCs w:val="32"/>
          <w:highlight w:val="none"/>
          <w:lang w:eastAsia="zh-CN"/>
        </w:rPr>
        <w:t>，</w:t>
      </w:r>
      <w:r>
        <w:rPr>
          <w:rFonts w:hint="eastAsia" w:ascii="仿宋_GB2312" w:eastAsia="仿宋_GB2312"/>
          <w:b/>
          <w:color w:val="000000"/>
          <w:sz w:val="32"/>
          <w:szCs w:val="32"/>
          <w:highlight w:val="none"/>
        </w:rPr>
        <w:t>构建“三位一体”监管体系</w:t>
      </w:r>
      <w:r>
        <w:rPr>
          <w:rFonts w:hint="eastAsia" w:ascii="仿宋_GB2312" w:eastAsia="仿宋_GB2312"/>
          <w:b/>
          <w:color w:val="000000"/>
          <w:sz w:val="32"/>
          <w:szCs w:val="32"/>
          <w:highlight w:val="none"/>
          <w:lang w:eastAsia="zh-CN"/>
        </w:rPr>
        <w:t>，</w:t>
      </w:r>
      <w:r>
        <w:rPr>
          <w:rFonts w:hint="eastAsia" w:ascii="仿宋_GB2312" w:eastAsia="仿宋_GB2312"/>
          <w:b/>
          <w:color w:val="000000"/>
          <w:sz w:val="32"/>
          <w:szCs w:val="32"/>
          <w:highlight w:val="none"/>
        </w:rPr>
        <w:t>优化绩效评价与成果转化激励</w:t>
      </w:r>
    </w:p>
    <w:p>
      <w:pPr>
        <w:pBdr>
          <w:bottom w:val="single" w:color="FFFFFF" w:sz="4" w:space="31"/>
        </w:pBdr>
        <w:tabs>
          <w:tab w:val="left" w:pos="1440"/>
        </w:tabs>
        <w:spacing w:line="360" w:lineRule="auto"/>
        <w:ind w:firstLine="640" w:firstLineChars="200"/>
        <w:contextualSpacing/>
        <w:rPr>
          <w:rFonts w:hint="eastAsia" w:ascii="仿宋_GB2312" w:eastAsia="仿宋_GB2312"/>
          <w:b w:val="0"/>
          <w:bCs/>
          <w:color w:val="000000"/>
          <w:sz w:val="32"/>
          <w:szCs w:val="32"/>
          <w:highlight w:val="none"/>
        </w:rPr>
      </w:pPr>
      <w:r>
        <w:rPr>
          <w:rFonts w:hint="eastAsia" w:ascii="仿宋_GB2312" w:eastAsia="仿宋_GB2312"/>
          <w:color w:val="000000"/>
          <w:sz w:val="32"/>
          <w:szCs w:val="32"/>
          <w:highlight w:val="none"/>
        </w:rPr>
        <w:t>建议项目单位</w:t>
      </w:r>
      <w:r>
        <w:rPr>
          <w:rFonts w:hint="eastAsia" w:ascii="仿宋_GB2312" w:eastAsia="仿宋_GB2312"/>
          <w:b w:val="0"/>
          <w:bCs/>
          <w:color w:val="000000"/>
          <w:sz w:val="32"/>
          <w:szCs w:val="32"/>
          <w:highlight w:val="none"/>
        </w:rPr>
        <w:t>建立动态跟踪与反馈机制，强化立项论证与动态调整机制。重点评估平台交叉融合潜力及资源整合方案，明确平台运行项目的目标，以及“设备共享率”“跨学科合作项目”等量化指标。建立动态退出机制：建立“年度评估+中期调整”机制，对连续两年未达绩效目标的平台缩减或终止补助。</w:t>
      </w:r>
    </w:p>
    <w:p>
      <w:pPr>
        <w:pBdr>
          <w:bottom w:val="single" w:color="FFFFFF" w:sz="4" w:space="31"/>
        </w:pBdr>
        <w:tabs>
          <w:tab w:val="left" w:pos="1440"/>
        </w:tabs>
        <w:spacing w:line="360" w:lineRule="auto"/>
        <w:ind w:firstLine="640" w:firstLineChars="200"/>
        <w:contextualSpacing/>
        <w:rPr>
          <w:rFonts w:hint="eastAsia" w:ascii="仿宋_GB2312" w:eastAsia="仿宋_GB2312"/>
          <w:b w:val="0"/>
          <w:bCs/>
          <w:color w:val="000000"/>
          <w:sz w:val="32"/>
          <w:szCs w:val="32"/>
          <w:highlight w:val="none"/>
          <w:lang w:eastAsia="zh-CN"/>
        </w:rPr>
      </w:pPr>
      <w:r>
        <w:rPr>
          <w:rFonts w:hint="eastAsia" w:ascii="仿宋_GB2312" w:eastAsia="仿宋_GB2312"/>
          <w:b w:val="0"/>
          <w:bCs/>
          <w:color w:val="000000"/>
          <w:sz w:val="32"/>
          <w:szCs w:val="32"/>
          <w:highlight w:val="none"/>
        </w:rPr>
        <w:t>构建“三位一体”监管体系。成立跨部门联合检查组，每季度抽查资金流向，重点核查“设备共享台账”</w:t>
      </w:r>
      <w:r>
        <w:rPr>
          <w:rFonts w:hint="eastAsia" w:ascii="仿宋_GB2312" w:eastAsia="仿宋_GB2312"/>
          <w:b w:val="0"/>
          <w:bCs/>
          <w:color w:val="000000"/>
          <w:sz w:val="32"/>
          <w:szCs w:val="32"/>
          <w:highlight w:val="none"/>
          <w:lang w:eastAsia="zh-CN"/>
        </w:rPr>
        <w:t>、</w:t>
      </w:r>
      <w:r>
        <w:rPr>
          <w:rFonts w:hint="eastAsia" w:ascii="仿宋_GB2312" w:eastAsia="仿宋_GB2312"/>
          <w:b w:val="0"/>
          <w:bCs/>
          <w:color w:val="000000"/>
          <w:sz w:val="32"/>
          <w:szCs w:val="32"/>
          <w:highlight w:val="none"/>
        </w:rPr>
        <w:t>合作单位资质。建立诚信档案，对违规单位实施“次年不得申报同类项目”“追回资金+罚款”等处罚</w:t>
      </w:r>
      <w:r>
        <w:rPr>
          <w:rFonts w:hint="eastAsia" w:ascii="仿宋_GB2312" w:eastAsia="仿宋_GB2312"/>
          <w:b w:val="0"/>
          <w:bCs/>
          <w:color w:val="000000"/>
          <w:sz w:val="32"/>
          <w:szCs w:val="32"/>
          <w:highlight w:val="none"/>
          <w:lang w:eastAsia="zh-CN"/>
        </w:rPr>
        <w:t>。</w:t>
      </w:r>
    </w:p>
    <w:p>
      <w:pPr>
        <w:pBdr>
          <w:bottom w:val="single" w:color="FFFFFF" w:sz="4" w:space="31"/>
        </w:pBdr>
        <w:tabs>
          <w:tab w:val="left" w:pos="1440"/>
        </w:tabs>
        <w:spacing w:line="360" w:lineRule="auto"/>
        <w:ind w:firstLine="640" w:firstLineChars="200"/>
        <w:contextualSpacing/>
        <w:rPr>
          <w:rFonts w:hint="eastAsia" w:ascii="仿宋_GB2312" w:eastAsia="仿宋_GB2312"/>
          <w:color w:val="000000"/>
          <w:sz w:val="32"/>
          <w:szCs w:val="32"/>
          <w:highlight w:val="none"/>
          <w:lang w:eastAsia="zh-CN"/>
        </w:rPr>
      </w:pPr>
      <w:r>
        <w:rPr>
          <w:rFonts w:hint="eastAsia" w:ascii="仿宋_GB2312" w:eastAsia="仿宋_GB2312"/>
          <w:b w:val="0"/>
          <w:bCs/>
          <w:color w:val="000000"/>
          <w:sz w:val="32"/>
          <w:szCs w:val="32"/>
          <w:highlight w:val="none"/>
        </w:rPr>
        <w:t>优化绩效评价与成果转化激励。建立多维度（论文、标准、产业贡献度、资源共享等）评价体系以及后补助机制，对成果转化收益达到</w:t>
      </w:r>
      <w:r>
        <w:rPr>
          <w:rFonts w:hint="eastAsia" w:ascii="仿宋_GB2312" w:eastAsia="仿宋_GB2312"/>
          <w:b w:val="0"/>
          <w:bCs/>
          <w:color w:val="000000"/>
          <w:sz w:val="32"/>
          <w:szCs w:val="32"/>
          <w:highlight w:val="none"/>
          <w:lang w:val="en-US" w:eastAsia="zh-CN"/>
        </w:rPr>
        <w:t>要求</w:t>
      </w:r>
      <w:r>
        <w:rPr>
          <w:rFonts w:hint="eastAsia" w:ascii="仿宋_GB2312" w:eastAsia="仿宋_GB2312"/>
          <w:b w:val="0"/>
          <w:bCs/>
          <w:color w:val="000000"/>
          <w:sz w:val="32"/>
          <w:szCs w:val="32"/>
          <w:highlight w:val="none"/>
        </w:rPr>
        <w:t>水平的平台追加</w:t>
      </w:r>
      <w:r>
        <w:rPr>
          <w:rFonts w:hint="eastAsia" w:ascii="仿宋_GB2312" w:eastAsia="仿宋_GB2312"/>
          <w:b w:val="0"/>
          <w:bCs/>
          <w:color w:val="000000"/>
          <w:sz w:val="32"/>
          <w:szCs w:val="32"/>
          <w:highlight w:val="none"/>
          <w:lang w:val="en-US" w:eastAsia="zh-CN"/>
        </w:rPr>
        <w:t>二次激励</w:t>
      </w:r>
      <w:r>
        <w:rPr>
          <w:rFonts w:hint="eastAsia" w:ascii="仿宋_GB2312" w:eastAsia="仿宋_GB2312"/>
          <w:b w:val="0"/>
          <w:bCs/>
          <w:color w:val="000000"/>
          <w:sz w:val="32"/>
          <w:szCs w:val="32"/>
          <w:highlight w:val="none"/>
        </w:rPr>
        <w:t>经费</w:t>
      </w:r>
      <w:r>
        <w:rPr>
          <w:rFonts w:hint="eastAsia" w:ascii="仿宋_GB2312" w:eastAsia="仿宋_GB2312"/>
          <w:b w:val="0"/>
          <w:bCs/>
          <w:color w:val="000000"/>
          <w:sz w:val="32"/>
          <w:szCs w:val="32"/>
          <w:highlight w:val="none"/>
          <w:lang w:eastAsia="zh-CN"/>
        </w:rPr>
        <w:t>。</w:t>
      </w:r>
    </w:p>
    <w:p>
      <w:pPr>
        <w:pBdr>
          <w:bottom w:val="single" w:color="FFFFFF" w:sz="4" w:space="31"/>
        </w:pBdr>
        <w:tabs>
          <w:tab w:val="left" w:pos="1440"/>
        </w:tabs>
        <w:spacing w:line="360" w:lineRule="auto"/>
        <w:ind w:firstLine="643" w:firstLineChars="200"/>
        <w:contextualSpacing/>
        <w:rPr>
          <w:rFonts w:ascii="仿宋_GB2312" w:eastAsia="仿宋_GB2312"/>
          <w:b/>
          <w:color w:val="000000"/>
          <w:sz w:val="32"/>
          <w:szCs w:val="32"/>
          <w:highlight w:val="none"/>
        </w:rPr>
      </w:pPr>
      <w:r>
        <w:rPr>
          <w:rFonts w:hint="eastAsia" w:ascii="仿宋_GB2312" w:eastAsia="仿宋_GB2312"/>
          <w:b/>
          <w:color w:val="000000"/>
          <w:sz w:val="32"/>
          <w:szCs w:val="32"/>
          <w:highlight w:val="none"/>
        </w:rPr>
        <w:t>（</w:t>
      </w:r>
      <w:r>
        <w:rPr>
          <w:rFonts w:hint="eastAsia" w:ascii="仿宋_GB2312" w:eastAsia="仿宋_GB2312"/>
          <w:b/>
          <w:color w:val="000000"/>
          <w:sz w:val="32"/>
          <w:szCs w:val="32"/>
          <w:highlight w:val="none"/>
          <w:lang w:val="en-US" w:eastAsia="zh-CN"/>
        </w:rPr>
        <w:t>五</w:t>
      </w:r>
      <w:r>
        <w:rPr>
          <w:rFonts w:hint="eastAsia" w:ascii="仿宋_GB2312" w:eastAsia="仿宋_GB2312"/>
          <w:b/>
          <w:color w:val="000000"/>
          <w:sz w:val="32"/>
          <w:szCs w:val="32"/>
          <w:highlight w:val="none"/>
        </w:rPr>
        <w:t>）扩大公示范围，规范开展满意度调查</w:t>
      </w:r>
    </w:p>
    <w:p>
      <w:pPr>
        <w:pBdr>
          <w:bottom w:val="single" w:color="FFFFFF" w:sz="4" w:space="31"/>
        </w:pBdr>
        <w:tabs>
          <w:tab w:val="left" w:pos="1440"/>
        </w:tabs>
        <w:spacing w:line="360" w:lineRule="auto"/>
        <w:ind w:firstLine="640" w:firstLineChars="200"/>
        <w:contextualSpacing/>
        <w:rPr>
          <w:rFonts w:ascii="仿宋_GB2312" w:eastAsia="仿宋_GB2312"/>
          <w:color w:val="000000"/>
          <w:sz w:val="32"/>
          <w:szCs w:val="32"/>
          <w:highlight w:val="none"/>
        </w:rPr>
      </w:pPr>
      <w:r>
        <w:rPr>
          <w:rFonts w:hint="eastAsia" w:ascii="仿宋_GB2312" w:eastAsia="仿宋_GB2312"/>
          <w:color w:val="000000"/>
          <w:sz w:val="32"/>
          <w:szCs w:val="32"/>
          <w:highlight w:val="none"/>
        </w:rPr>
        <w:t>建议项目单位提高公示合规合理性，扩大公示范围。规范开展满意度调查，科学合理设计有针对性的满意度调查问卷，调查问卷的目的不仅是为了得到一个评价结果，调查问卷应有助于怀柔科学城管委会了解被补助单位的真实意见和建议，为项目后续决策提供依据。</w:t>
      </w:r>
    </w:p>
    <w:p>
      <w:pPr>
        <w:pBdr>
          <w:bottom w:val="single" w:color="FFFFFF" w:sz="4" w:space="31"/>
        </w:pBdr>
        <w:tabs>
          <w:tab w:val="left" w:pos="1440"/>
        </w:tabs>
        <w:spacing w:line="360" w:lineRule="auto"/>
        <w:ind w:firstLine="643" w:firstLineChars="200"/>
        <w:contextualSpacing/>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七</w:t>
      </w:r>
      <w:r>
        <w:rPr>
          <w:rFonts w:hint="eastAsia" w:ascii="仿宋_GB2312" w:hAnsi="仿宋_GB2312" w:eastAsia="仿宋_GB2312" w:cs="仿宋_GB2312"/>
          <w:b/>
          <w:sz w:val="32"/>
          <w:szCs w:val="32"/>
          <w:highlight w:val="none"/>
          <w:lang w:eastAsia="zh-CN"/>
        </w:rPr>
        <w:t>、</w:t>
      </w:r>
      <w:r>
        <w:rPr>
          <w:rFonts w:hint="eastAsia" w:ascii="仿宋_GB2312" w:hAnsi="仿宋_GB2312" w:eastAsia="仿宋_GB2312" w:cs="仿宋_GB2312"/>
          <w:b/>
          <w:sz w:val="32"/>
          <w:szCs w:val="32"/>
          <w:highlight w:val="none"/>
        </w:rPr>
        <w:t>其他需要说明的问题</w:t>
      </w:r>
    </w:p>
    <w:p>
      <w:pPr>
        <w:pBdr>
          <w:bottom w:val="single" w:color="FFFFFF" w:sz="4" w:space="31"/>
        </w:pBdr>
        <w:tabs>
          <w:tab w:val="left" w:pos="1440"/>
        </w:tabs>
        <w:spacing w:line="360" w:lineRule="auto"/>
        <w:ind w:firstLine="640" w:firstLineChars="200"/>
        <w:contextualSpacing/>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无。</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F04F05D-8761-4962-B4DF-E618EB69B75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B10F0FA7-84CE-4251-8A3A-C4B7C018221D}"/>
  </w:font>
  <w:font w:name="楷体_GB2312">
    <w:panose1 w:val="02010609030101010101"/>
    <w:charset w:val="86"/>
    <w:family w:val="auto"/>
    <w:pitch w:val="default"/>
    <w:sig w:usb0="00000001" w:usb1="080E0000" w:usb2="00000000" w:usb3="00000000" w:csb0="00040000" w:csb1="00000000"/>
    <w:embedRegular r:id="rId3" w:fontKey="{1E35494C-4766-4977-8E54-785748F73879}"/>
  </w:font>
  <w:font w:name="仿宋">
    <w:panose1 w:val="02010609060101010101"/>
    <w:charset w:val="86"/>
    <w:family w:val="modern"/>
    <w:pitch w:val="default"/>
    <w:sig w:usb0="800002BF" w:usb1="38CF7CFA" w:usb2="00000016" w:usb3="00000000" w:csb0="00040001" w:csb1="00000000"/>
    <w:embedRegular r:id="rId4" w:fontKey="{95B2FD77-D33F-4503-B25D-6E6AF10CCDA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wNzQ4ZTczMjhhNzFjY2RjMjhjYzA5Y2RlZDViOGIifQ=="/>
  </w:docVars>
  <w:rsids>
    <w:rsidRoot w:val="03875F61"/>
    <w:rsid w:val="00003899"/>
    <w:rsid w:val="00025D0A"/>
    <w:rsid w:val="00035868"/>
    <w:rsid w:val="00097D11"/>
    <w:rsid w:val="000A2B15"/>
    <w:rsid w:val="000A2D4F"/>
    <w:rsid w:val="000B04D3"/>
    <w:rsid w:val="000B49F6"/>
    <w:rsid w:val="001137F0"/>
    <w:rsid w:val="00120523"/>
    <w:rsid w:val="0012760C"/>
    <w:rsid w:val="00153A38"/>
    <w:rsid w:val="00165F85"/>
    <w:rsid w:val="001B67CD"/>
    <w:rsid w:val="001B6D23"/>
    <w:rsid w:val="001B77CE"/>
    <w:rsid w:val="001C7C12"/>
    <w:rsid w:val="001C7C7A"/>
    <w:rsid w:val="001D5A28"/>
    <w:rsid w:val="001E757B"/>
    <w:rsid w:val="001F47B6"/>
    <w:rsid w:val="0020017C"/>
    <w:rsid w:val="0022357A"/>
    <w:rsid w:val="002529DA"/>
    <w:rsid w:val="00255050"/>
    <w:rsid w:val="00266861"/>
    <w:rsid w:val="00266CA4"/>
    <w:rsid w:val="0027230E"/>
    <w:rsid w:val="00293DF5"/>
    <w:rsid w:val="002D1EA4"/>
    <w:rsid w:val="002E4C83"/>
    <w:rsid w:val="00312B38"/>
    <w:rsid w:val="00321306"/>
    <w:rsid w:val="0032356B"/>
    <w:rsid w:val="003330D9"/>
    <w:rsid w:val="003435F1"/>
    <w:rsid w:val="00356088"/>
    <w:rsid w:val="00366A04"/>
    <w:rsid w:val="003901D0"/>
    <w:rsid w:val="003B194F"/>
    <w:rsid w:val="003C4E9B"/>
    <w:rsid w:val="003D0FFB"/>
    <w:rsid w:val="003D4FE4"/>
    <w:rsid w:val="003E19AB"/>
    <w:rsid w:val="003F1B82"/>
    <w:rsid w:val="003F39BE"/>
    <w:rsid w:val="004244C7"/>
    <w:rsid w:val="00436003"/>
    <w:rsid w:val="00490FFD"/>
    <w:rsid w:val="0049715D"/>
    <w:rsid w:val="004D0BCB"/>
    <w:rsid w:val="004E58D8"/>
    <w:rsid w:val="004F1015"/>
    <w:rsid w:val="004F6BD2"/>
    <w:rsid w:val="004F7400"/>
    <w:rsid w:val="00516031"/>
    <w:rsid w:val="00522C94"/>
    <w:rsid w:val="0052644B"/>
    <w:rsid w:val="00530502"/>
    <w:rsid w:val="00543B71"/>
    <w:rsid w:val="00552C31"/>
    <w:rsid w:val="00571B33"/>
    <w:rsid w:val="00581318"/>
    <w:rsid w:val="005943D0"/>
    <w:rsid w:val="005A3590"/>
    <w:rsid w:val="005B4FE5"/>
    <w:rsid w:val="005B503A"/>
    <w:rsid w:val="005C23E1"/>
    <w:rsid w:val="005D7EEA"/>
    <w:rsid w:val="005E477B"/>
    <w:rsid w:val="005F504D"/>
    <w:rsid w:val="006118FE"/>
    <w:rsid w:val="0061341A"/>
    <w:rsid w:val="006247E9"/>
    <w:rsid w:val="006325EB"/>
    <w:rsid w:val="00636FB2"/>
    <w:rsid w:val="00653CBD"/>
    <w:rsid w:val="00663CC5"/>
    <w:rsid w:val="006A0BE5"/>
    <w:rsid w:val="006A1755"/>
    <w:rsid w:val="006C0BD9"/>
    <w:rsid w:val="006F1DBD"/>
    <w:rsid w:val="00713394"/>
    <w:rsid w:val="00716D46"/>
    <w:rsid w:val="00733BBF"/>
    <w:rsid w:val="007353B9"/>
    <w:rsid w:val="00740299"/>
    <w:rsid w:val="007525D1"/>
    <w:rsid w:val="007732AB"/>
    <w:rsid w:val="00786FFE"/>
    <w:rsid w:val="007A10BA"/>
    <w:rsid w:val="007E1600"/>
    <w:rsid w:val="007E79E6"/>
    <w:rsid w:val="0081239C"/>
    <w:rsid w:val="008455CF"/>
    <w:rsid w:val="00893CEC"/>
    <w:rsid w:val="00895FC1"/>
    <w:rsid w:val="008A4D76"/>
    <w:rsid w:val="008C6453"/>
    <w:rsid w:val="008D3F8E"/>
    <w:rsid w:val="008E0CA1"/>
    <w:rsid w:val="008E5034"/>
    <w:rsid w:val="008E7D92"/>
    <w:rsid w:val="008F1CDD"/>
    <w:rsid w:val="00901CC0"/>
    <w:rsid w:val="00920F5B"/>
    <w:rsid w:val="009255FE"/>
    <w:rsid w:val="009347D1"/>
    <w:rsid w:val="00960927"/>
    <w:rsid w:val="009800D6"/>
    <w:rsid w:val="0099010B"/>
    <w:rsid w:val="00994B13"/>
    <w:rsid w:val="009A4A97"/>
    <w:rsid w:val="009B1548"/>
    <w:rsid w:val="009C40B0"/>
    <w:rsid w:val="009E15FC"/>
    <w:rsid w:val="00A12004"/>
    <w:rsid w:val="00A340DD"/>
    <w:rsid w:val="00A35DDA"/>
    <w:rsid w:val="00A43031"/>
    <w:rsid w:val="00A44016"/>
    <w:rsid w:val="00A4701F"/>
    <w:rsid w:val="00A90065"/>
    <w:rsid w:val="00A955C5"/>
    <w:rsid w:val="00A969A5"/>
    <w:rsid w:val="00A97502"/>
    <w:rsid w:val="00AB0165"/>
    <w:rsid w:val="00AC3E14"/>
    <w:rsid w:val="00B1331C"/>
    <w:rsid w:val="00B347A3"/>
    <w:rsid w:val="00B34F3C"/>
    <w:rsid w:val="00B84B98"/>
    <w:rsid w:val="00BC5746"/>
    <w:rsid w:val="00BE5DD3"/>
    <w:rsid w:val="00C321B7"/>
    <w:rsid w:val="00C456F9"/>
    <w:rsid w:val="00C63AB6"/>
    <w:rsid w:val="00C72913"/>
    <w:rsid w:val="00C73BA1"/>
    <w:rsid w:val="00C7677F"/>
    <w:rsid w:val="00C830C6"/>
    <w:rsid w:val="00C8413A"/>
    <w:rsid w:val="00CB0404"/>
    <w:rsid w:val="00CB77BE"/>
    <w:rsid w:val="00CC206C"/>
    <w:rsid w:val="00CD35D7"/>
    <w:rsid w:val="00D1076F"/>
    <w:rsid w:val="00D1387E"/>
    <w:rsid w:val="00D14144"/>
    <w:rsid w:val="00D6307F"/>
    <w:rsid w:val="00D669B1"/>
    <w:rsid w:val="00D77B6F"/>
    <w:rsid w:val="00D9521E"/>
    <w:rsid w:val="00DA2059"/>
    <w:rsid w:val="00DB2E80"/>
    <w:rsid w:val="00DB7558"/>
    <w:rsid w:val="00DC3AAA"/>
    <w:rsid w:val="00DC6BB5"/>
    <w:rsid w:val="00DC7A30"/>
    <w:rsid w:val="00DD0E08"/>
    <w:rsid w:val="00DD3DBB"/>
    <w:rsid w:val="00DD5FFF"/>
    <w:rsid w:val="00E13E63"/>
    <w:rsid w:val="00E258F5"/>
    <w:rsid w:val="00E26394"/>
    <w:rsid w:val="00E5733A"/>
    <w:rsid w:val="00E656FB"/>
    <w:rsid w:val="00E71C86"/>
    <w:rsid w:val="00E866A9"/>
    <w:rsid w:val="00E91C24"/>
    <w:rsid w:val="00EA44C4"/>
    <w:rsid w:val="00EF4161"/>
    <w:rsid w:val="00F05ED1"/>
    <w:rsid w:val="00F119D0"/>
    <w:rsid w:val="00F42F54"/>
    <w:rsid w:val="00F505D9"/>
    <w:rsid w:val="00F67329"/>
    <w:rsid w:val="00F85369"/>
    <w:rsid w:val="00FA0F38"/>
    <w:rsid w:val="00FA3459"/>
    <w:rsid w:val="00FB35FA"/>
    <w:rsid w:val="00FB7276"/>
    <w:rsid w:val="00FC31EE"/>
    <w:rsid w:val="00FE28A1"/>
    <w:rsid w:val="00FF6F66"/>
    <w:rsid w:val="014632E9"/>
    <w:rsid w:val="03065425"/>
    <w:rsid w:val="03875F61"/>
    <w:rsid w:val="03B629A7"/>
    <w:rsid w:val="03FB03BA"/>
    <w:rsid w:val="04267B2D"/>
    <w:rsid w:val="048160E4"/>
    <w:rsid w:val="04BF588C"/>
    <w:rsid w:val="05A607FA"/>
    <w:rsid w:val="06F832D7"/>
    <w:rsid w:val="07826EB4"/>
    <w:rsid w:val="07E34243"/>
    <w:rsid w:val="081367E8"/>
    <w:rsid w:val="08365E65"/>
    <w:rsid w:val="08444A26"/>
    <w:rsid w:val="08647F9E"/>
    <w:rsid w:val="08766BA9"/>
    <w:rsid w:val="0882554E"/>
    <w:rsid w:val="08A92ADB"/>
    <w:rsid w:val="08AE00F1"/>
    <w:rsid w:val="096D3B08"/>
    <w:rsid w:val="09716359"/>
    <w:rsid w:val="09C14E59"/>
    <w:rsid w:val="09FB55B8"/>
    <w:rsid w:val="0A3E4C3C"/>
    <w:rsid w:val="0A680E5F"/>
    <w:rsid w:val="0A7315F2"/>
    <w:rsid w:val="0CB52921"/>
    <w:rsid w:val="0D8B6C53"/>
    <w:rsid w:val="0DAE2941"/>
    <w:rsid w:val="0EAC50D3"/>
    <w:rsid w:val="0F205179"/>
    <w:rsid w:val="0F213C2C"/>
    <w:rsid w:val="0F334EAC"/>
    <w:rsid w:val="0F6C6610"/>
    <w:rsid w:val="0FEB39D9"/>
    <w:rsid w:val="0FF7237E"/>
    <w:rsid w:val="101822F4"/>
    <w:rsid w:val="10184D5C"/>
    <w:rsid w:val="11867E5D"/>
    <w:rsid w:val="11C646FD"/>
    <w:rsid w:val="12103BCB"/>
    <w:rsid w:val="122356AC"/>
    <w:rsid w:val="12380A2C"/>
    <w:rsid w:val="124F64A1"/>
    <w:rsid w:val="12A02E34"/>
    <w:rsid w:val="12A10CC7"/>
    <w:rsid w:val="138A5A29"/>
    <w:rsid w:val="13900351"/>
    <w:rsid w:val="13BC5DB8"/>
    <w:rsid w:val="146401FE"/>
    <w:rsid w:val="15204125"/>
    <w:rsid w:val="15485429"/>
    <w:rsid w:val="15F462E1"/>
    <w:rsid w:val="166E0242"/>
    <w:rsid w:val="16873D30"/>
    <w:rsid w:val="16D76A65"/>
    <w:rsid w:val="17420D49"/>
    <w:rsid w:val="18300B23"/>
    <w:rsid w:val="183C4C43"/>
    <w:rsid w:val="18463EA2"/>
    <w:rsid w:val="186546A7"/>
    <w:rsid w:val="19297320"/>
    <w:rsid w:val="1A1C3315"/>
    <w:rsid w:val="1AD9671D"/>
    <w:rsid w:val="1B281F85"/>
    <w:rsid w:val="1B642891"/>
    <w:rsid w:val="1C316C17"/>
    <w:rsid w:val="1CD87093"/>
    <w:rsid w:val="1E1D1B7F"/>
    <w:rsid w:val="1EC57AEB"/>
    <w:rsid w:val="1EDD3086"/>
    <w:rsid w:val="1F0E4FEE"/>
    <w:rsid w:val="21090163"/>
    <w:rsid w:val="223E5BEA"/>
    <w:rsid w:val="22804455"/>
    <w:rsid w:val="22AC6FF8"/>
    <w:rsid w:val="22EC3ECD"/>
    <w:rsid w:val="2312327F"/>
    <w:rsid w:val="23AB3753"/>
    <w:rsid w:val="23B02B18"/>
    <w:rsid w:val="2460453E"/>
    <w:rsid w:val="24D932C6"/>
    <w:rsid w:val="25007ACF"/>
    <w:rsid w:val="25140E84"/>
    <w:rsid w:val="25A93CC2"/>
    <w:rsid w:val="262B46D7"/>
    <w:rsid w:val="26981D4F"/>
    <w:rsid w:val="26EA1D20"/>
    <w:rsid w:val="27F54F9D"/>
    <w:rsid w:val="280671AA"/>
    <w:rsid w:val="28685E58"/>
    <w:rsid w:val="28D9666D"/>
    <w:rsid w:val="29986528"/>
    <w:rsid w:val="2A544384"/>
    <w:rsid w:val="2BEC66B7"/>
    <w:rsid w:val="2C155C0E"/>
    <w:rsid w:val="2C6B7B8F"/>
    <w:rsid w:val="2CBA0563"/>
    <w:rsid w:val="2CD97D12"/>
    <w:rsid w:val="2CF717B7"/>
    <w:rsid w:val="2DC96403"/>
    <w:rsid w:val="2F2F5238"/>
    <w:rsid w:val="2F866E22"/>
    <w:rsid w:val="30AD0B0B"/>
    <w:rsid w:val="316513E5"/>
    <w:rsid w:val="316B3BD4"/>
    <w:rsid w:val="31945827"/>
    <w:rsid w:val="31CF685F"/>
    <w:rsid w:val="31E8264B"/>
    <w:rsid w:val="326F1DF0"/>
    <w:rsid w:val="32BC69A9"/>
    <w:rsid w:val="32E93950"/>
    <w:rsid w:val="333B0B61"/>
    <w:rsid w:val="336C6619"/>
    <w:rsid w:val="337771AE"/>
    <w:rsid w:val="338D69D1"/>
    <w:rsid w:val="3485776B"/>
    <w:rsid w:val="35284278"/>
    <w:rsid w:val="355C541A"/>
    <w:rsid w:val="36E25286"/>
    <w:rsid w:val="3720190B"/>
    <w:rsid w:val="37543502"/>
    <w:rsid w:val="376E2676"/>
    <w:rsid w:val="377C0833"/>
    <w:rsid w:val="37936580"/>
    <w:rsid w:val="37B02C8E"/>
    <w:rsid w:val="381E5E4A"/>
    <w:rsid w:val="38262F51"/>
    <w:rsid w:val="383715E4"/>
    <w:rsid w:val="3851621F"/>
    <w:rsid w:val="38936601"/>
    <w:rsid w:val="38AA5930"/>
    <w:rsid w:val="39187BC9"/>
    <w:rsid w:val="395835DE"/>
    <w:rsid w:val="39E63C1D"/>
    <w:rsid w:val="3A1B7C74"/>
    <w:rsid w:val="3A4D6EBA"/>
    <w:rsid w:val="3BF402F2"/>
    <w:rsid w:val="3C277297"/>
    <w:rsid w:val="3CFE65DA"/>
    <w:rsid w:val="3DAE7C70"/>
    <w:rsid w:val="3DDD67A7"/>
    <w:rsid w:val="3DEA67CE"/>
    <w:rsid w:val="3E09759C"/>
    <w:rsid w:val="3E2E24B4"/>
    <w:rsid w:val="3E9C3F6D"/>
    <w:rsid w:val="3EB219E2"/>
    <w:rsid w:val="3F0D085D"/>
    <w:rsid w:val="3F6E3B5B"/>
    <w:rsid w:val="3F942E96"/>
    <w:rsid w:val="3FD17C46"/>
    <w:rsid w:val="3FE07E89"/>
    <w:rsid w:val="3FF077F6"/>
    <w:rsid w:val="402B38BA"/>
    <w:rsid w:val="40512B35"/>
    <w:rsid w:val="427F1BDB"/>
    <w:rsid w:val="42CD0B98"/>
    <w:rsid w:val="43386637"/>
    <w:rsid w:val="44BA15F0"/>
    <w:rsid w:val="44F20D8A"/>
    <w:rsid w:val="45014B29"/>
    <w:rsid w:val="45DD7344"/>
    <w:rsid w:val="46601D24"/>
    <w:rsid w:val="476B4E24"/>
    <w:rsid w:val="478657BA"/>
    <w:rsid w:val="48696854"/>
    <w:rsid w:val="48943F06"/>
    <w:rsid w:val="4A642911"/>
    <w:rsid w:val="4AD4683C"/>
    <w:rsid w:val="4AEA6060"/>
    <w:rsid w:val="4BAF3531"/>
    <w:rsid w:val="4BCF61E1"/>
    <w:rsid w:val="4BD74836"/>
    <w:rsid w:val="4C26756B"/>
    <w:rsid w:val="4CA87F80"/>
    <w:rsid w:val="4CC44C05"/>
    <w:rsid w:val="4CD40D75"/>
    <w:rsid w:val="4CEB6A0D"/>
    <w:rsid w:val="4CF3744D"/>
    <w:rsid w:val="4D583569"/>
    <w:rsid w:val="4DC25ADD"/>
    <w:rsid w:val="4E1B45E4"/>
    <w:rsid w:val="4EA46D29"/>
    <w:rsid w:val="4F42646A"/>
    <w:rsid w:val="4FC43323"/>
    <w:rsid w:val="4FF736F9"/>
    <w:rsid w:val="507E34D2"/>
    <w:rsid w:val="509B0528"/>
    <w:rsid w:val="50FE0AB7"/>
    <w:rsid w:val="51442973"/>
    <w:rsid w:val="51C04FDC"/>
    <w:rsid w:val="51EC0C8A"/>
    <w:rsid w:val="51EE575A"/>
    <w:rsid w:val="52E361B6"/>
    <w:rsid w:val="530219FE"/>
    <w:rsid w:val="538530FA"/>
    <w:rsid w:val="538928BA"/>
    <w:rsid w:val="53B536AF"/>
    <w:rsid w:val="53DD1987"/>
    <w:rsid w:val="53F1045F"/>
    <w:rsid w:val="53FC752F"/>
    <w:rsid w:val="54534C76"/>
    <w:rsid w:val="5454111A"/>
    <w:rsid w:val="54C618EB"/>
    <w:rsid w:val="54F55D2D"/>
    <w:rsid w:val="55172147"/>
    <w:rsid w:val="552D196B"/>
    <w:rsid w:val="555A181E"/>
    <w:rsid w:val="56936944"/>
    <w:rsid w:val="56C77866"/>
    <w:rsid w:val="56D24DD7"/>
    <w:rsid w:val="5774783B"/>
    <w:rsid w:val="57FD73D2"/>
    <w:rsid w:val="58EF7663"/>
    <w:rsid w:val="596D2336"/>
    <w:rsid w:val="596D4A2C"/>
    <w:rsid w:val="59F1740B"/>
    <w:rsid w:val="5A001125"/>
    <w:rsid w:val="5A174592"/>
    <w:rsid w:val="5ABC3575"/>
    <w:rsid w:val="5AC73AFC"/>
    <w:rsid w:val="5C127CA8"/>
    <w:rsid w:val="5C531CB7"/>
    <w:rsid w:val="5C5C3190"/>
    <w:rsid w:val="5CF05758"/>
    <w:rsid w:val="5DD7237A"/>
    <w:rsid w:val="5E6A32E8"/>
    <w:rsid w:val="5EF856FB"/>
    <w:rsid w:val="5FAF36A8"/>
    <w:rsid w:val="606F1089"/>
    <w:rsid w:val="60716D85"/>
    <w:rsid w:val="60820DBC"/>
    <w:rsid w:val="60934869"/>
    <w:rsid w:val="60C2740B"/>
    <w:rsid w:val="60E2185B"/>
    <w:rsid w:val="615E35D8"/>
    <w:rsid w:val="61CE3B8D"/>
    <w:rsid w:val="620F042E"/>
    <w:rsid w:val="628A03FC"/>
    <w:rsid w:val="62BD2580"/>
    <w:rsid w:val="62C27B96"/>
    <w:rsid w:val="6337727A"/>
    <w:rsid w:val="63416D0D"/>
    <w:rsid w:val="641421C4"/>
    <w:rsid w:val="64192C29"/>
    <w:rsid w:val="648570CD"/>
    <w:rsid w:val="65047CE3"/>
    <w:rsid w:val="652135B9"/>
    <w:rsid w:val="654A5F42"/>
    <w:rsid w:val="654E3963"/>
    <w:rsid w:val="657D7DA4"/>
    <w:rsid w:val="658630FD"/>
    <w:rsid w:val="65D26342"/>
    <w:rsid w:val="664408C2"/>
    <w:rsid w:val="66573387"/>
    <w:rsid w:val="66FB16D6"/>
    <w:rsid w:val="67052B9D"/>
    <w:rsid w:val="67784CC7"/>
    <w:rsid w:val="677CDB63"/>
    <w:rsid w:val="68FB5BB0"/>
    <w:rsid w:val="6A310381"/>
    <w:rsid w:val="6AA54025"/>
    <w:rsid w:val="6ACF0C88"/>
    <w:rsid w:val="6BA30268"/>
    <w:rsid w:val="6C360CAD"/>
    <w:rsid w:val="6C4C59CB"/>
    <w:rsid w:val="6C53630D"/>
    <w:rsid w:val="6D4E425C"/>
    <w:rsid w:val="6D8B6DD7"/>
    <w:rsid w:val="6EAC5256"/>
    <w:rsid w:val="6EFE3D04"/>
    <w:rsid w:val="6F165F8F"/>
    <w:rsid w:val="6F6D70DC"/>
    <w:rsid w:val="70EE5FFA"/>
    <w:rsid w:val="70FF2DCA"/>
    <w:rsid w:val="71241A1C"/>
    <w:rsid w:val="73082AF7"/>
    <w:rsid w:val="7318110C"/>
    <w:rsid w:val="73497518"/>
    <w:rsid w:val="735C2B21"/>
    <w:rsid w:val="73934CDB"/>
    <w:rsid w:val="741E6526"/>
    <w:rsid w:val="745B5755"/>
    <w:rsid w:val="754F65B6"/>
    <w:rsid w:val="759E10C5"/>
    <w:rsid w:val="772D7293"/>
    <w:rsid w:val="778B00FF"/>
    <w:rsid w:val="77925931"/>
    <w:rsid w:val="77ED700C"/>
    <w:rsid w:val="77F35CA4"/>
    <w:rsid w:val="78106856"/>
    <w:rsid w:val="78210A63"/>
    <w:rsid w:val="78691440"/>
    <w:rsid w:val="78C733B9"/>
    <w:rsid w:val="78CC4E73"/>
    <w:rsid w:val="79295E21"/>
    <w:rsid w:val="79DBEB0A"/>
    <w:rsid w:val="7A543372"/>
    <w:rsid w:val="7B7A6E08"/>
    <w:rsid w:val="7D9B3066"/>
    <w:rsid w:val="7DB57F5F"/>
    <w:rsid w:val="7EAE5717"/>
    <w:rsid w:val="7EFE38AC"/>
    <w:rsid w:val="7F5636E8"/>
    <w:rsid w:val="7F9E5432"/>
    <w:rsid w:val="7FBB1315"/>
    <w:rsid w:val="7FC05006"/>
    <w:rsid w:val="7FD14B1D"/>
    <w:rsid w:val="B3FDE950"/>
    <w:rsid w:val="E9DB940E"/>
    <w:rsid w:val="FB7D8890"/>
    <w:rsid w:val="FDFBAA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link w:val="20"/>
    <w:qFormat/>
    <w:uiPriority w:val="0"/>
    <w:pPr>
      <w:tabs>
        <w:tab w:val="left" w:pos="2880"/>
      </w:tabs>
      <w:spacing w:after="120" w:line="240" w:lineRule="auto"/>
      <w:ind w:left="420" w:leftChars="200" w:firstLine="420"/>
    </w:pPr>
    <w:rPr>
      <w:bCs w:val="0"/>
      <w:sz w:val="21"/>
    </w:rPr>
  </w:style>
  <w:style w:type="paragraph" w:styleId="3">
    <w:name w:val="Body Text Indent"/>
    <w:basedOn w:val="1"/>
    <w:link w:val="13"/>
    <w:qFormat/>
    <w:uiPriority w:val="0"/>
    <w:pPr>
      <w:tabs>
        <w:tab w:val="left" w:pos="2880"/>
      </w:tabs>
      <w:spacing w:line="360" w:lineRule="auto"/>
      <w:ind w:firstLine="200" w:firstLineChars="200"/>
    </w:pPr>
    <w:rPr>
      <w:bCs/>
      <w:sz w:val="24"/>
    </w:rPr>
  </w:style>
  <w:style w:type="paragraph" w:styleId="4">
    <w:name w:val="Normal Indent"/>
    <w:basedOn w:val="1"/>
    <w:qFormat/>
    <w:uiPriority w:val="0"/>
    <w:pPr>
      <w:ind w:firstLine="200" w:firstLineChars="200"/>
    </w:pPr>
  </w:style>
  <w:style w:type="paragraph" w:styleId="5">
    <w:name w:val="annotation text"/>
    <w:basedOn w:val="1"/>
    <w:link w:val="15"/>
    <w:qFormat/>
    <w:uiPriority w:val="0"/>
    <w:pPr>
      <w:jc w:val="left"/>
    </w:pPr>
  </w:style>
  <w:style w:type="paragraph" w:styleId="6">
    <w:name w:val="Body Text"/>
    <w:basedOn w:val="1"/>
    <w:next w:val="1"/>
    <w:link w:val="17"/>
    <w:qFormat/>
    <w:uiPriority w:val="99"/>
    <w:pPr>
      <w:spacing w:after="12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Subtitle"/>
    <w:basedOn w:val="1"/>
    <w:next w:val="1"/>
    <w:link w:val="18"/>
    <w:qFormat/>
    <w:uiPriority w:val="0"/>
    <w:pPr>
      <w:ind w:firstLine="200" w:firstLineChars="200"/>
      <w:jc w:val="left"/>
      <w:outlineLvl w:val="2"/>
    </w:pPr>
    <w:rPr>
      <w:rFonts w:ascii="Cambria" w:hAnsi="Cambria" w:eastAsia="黑体"/>
      <w:bCs/>
      <w:kern w:val="28"/>
      <w:sz w:val="28"/>
      <w:szCs w:val="32"/>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13">
    <w:name w:val="正文文本缩进 Char"/>
    <w:basedOn w:val="11"/>
    <w:link w:val="3"/>
    <w:qFormat/>
    <w:uiPriority w:val="0"/>
    <w:rPr>
      <w:bCs/>
      <w:kern w:val="2"/>
      <w:sz w:val="24"/>
      <w:szCs w:val="24"/>
    </w:rPr>
  </w:style>
  <w:style w:type="paragraph" w:styleId="14">
    <w:name w:val="List Paragraph"/>
    <w:basedOn w:val="1"/>
    <w:qFormat/>
    <w:uiPriority w:val="34"/>
    <w:pPr>
      <w:ind w:firstLine="420" w:firstLineChars="200"/>
    </w:pPr>
    <w:rPr>
      <w:rFonts w:eastAsia="仿宋_GB2312"/>
      <w:sz w:val="28"/>
      <w:szCs w:val="22"/>
    </w:rPr>
  </w:style>
  <w:style w:type="character" w:customStyle="1" w:styleId="15">
    <w:name w:val="批注文字 Char"/>
    <w:link w:val="5"/>
    <w:qFormat/>
    <w:uiPriority w:val="0"/>
    <w:rPr>
      <w:kern w:val="2"/>
      <w:sz w:val="21"/>
      <w:szCs w:val="24"/>
    </w:rPr>
  </w:style>
  <w:style w:type="character" w:customStyle="1" w:styleId="16">
    <w:name w:val="批注文字 Char1"/>
    <w:basedOn w:val="11"/>
    <w:qFormat/>
    <w:uiPriority w:val="0"/>
    <w:rPr>
      <w:kern w:val="2"/>
      <w:sz w:val="21"/>
      <w:szCs w:val="24"/>
    </w:rPr>
  </w:style>
  <w:style w:type="character" w:customStyle="1" w:styleId="17">
    <w:name w:val="正文文本 Char"/>
    <w:basedOn w:val="11"/>
    <w:link w:val="6"/>
    <w:qFormat/>
    <w:uiPriority w:val="99"/>
    <w:rPr>
      <w:kern w:val="2"/>
      <w:sz w:val="21"/>
      <w:szCs w:val="24"/>
    </w:rPr>
  </w:style>
  <w:style w:type="character" w:customStyle="1" w:styleId="18">
    <w:name w:val="副标题 Char"/>
    <w:basedOn w:val="11"/>
    <w:link w:val="9"/>
    <w:qFormat/>
    <w:uiPriority w:val="0"/>
    <w:rPr>
      <w:rFonts w:ascii="Cambria" w:hAnsi="Cambria" w:eastAsia="黑体"/>
      <w:bCs/>
      <w:kern w:val="28"/>
      <w:sz w:val="28"/>
      <w:szCs w:val="32"/>
    </w:rPr>
  </w:style>
  <w:style w:type="character" w:customStyle="1" w:styleId="19">
    <w:name w:val="fontstyle01"/>
    <w:basedOn w:val="11"/>
    <w:qFormat/>
    <w:uiPriority w:val="0"/>
    <w:rPr>
      <w:rFonts w:hint="eastAsia" w:ascii="仿宋_GB2312" w:eastAsia="仿宋_GB2312"/>
      <w:color w:val="000000"/>
      <w:sz w:val="32"/>
      <w:szCs w:val="32"/>
    </w:rPr>
  </w:style>
  <w:style w:type="character" w:customStyle="1" w:styleId="20">
    <w:name w:val="正文首行缩进 2 Char"/>
    <w:basedOn w:val="13"/>
    <w:link w:val="2"/>
    <w:qFormat/>
    <w:uiPriority w:val="0"/>
    <w:rPr>
      <w:bCs w:val="0"/>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6942</Words>
  <Characters>7466</Characters>
  <Lines>78</Lines>
  <Paragraphs>22</Paragraphs>
  <TotalTime>20</TotalTime>
  <ScaleCrop>false</ScaleCrop>
  <LinksUpToDate>false</LinksUpToDate>
  <CharactersWithSpaces>7508</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2024-05-22T03:00:00Z</dcterms:created>
  <dc:creator>Administrator</dc:creator>
  <cp:lastModifiedBy>北京怀柔科学城管理委员会（本级）</cp:lastModifiedBy>
  <cp:lastPrinted>2024-06-05T10:01:00Z</cp:lastPrinted>
  <dcterms:modified xsi:type="dcterms:W3CDTF">2025-08-25T07:25:51Z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1A2983D767BA4132BFD3B9F060A708DC_13</vt:lpwstr>
  </property>
  <property fmtid="{D5CDD505-2E9C-101B-9397-08002B2CF9AE}" pid="4" name="KSOTemplateDocerSaveRecord">
    <vt:lpwstr>eyJoZGlkIjoiMTczODE5M2Y4ZTFmYzVlMzI3MzI0YzQ3Y2M2YTA0YTAiLCJ1c2VySWQiOiIzMjE1NDUyMDIifQ==</vt:lpwstr>
  </property>
</Properties>
</file>