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ind w:firstLine="0" w:firstLineChars="0"/>
        <w:jc w:val="center"/>
        <w:rPr>
          <w:rFonts w:eastAsia="方正小标宋简体"/>
          <w:sz w:val="36"/>
          <w:szCs w:val="36"/>
        </w:rPr>
      </w:pPr>
    </w:p>
    <w:p>
      <w:pPr>
        <w:spacing w:line="590" w:lineRule="exact"/>
        <w:ind w:firstLine="0" w:firstLineChars="0"/>
        <w:jc w:val="center"/>
        <w:rPr>
          <w:rFonts w:eastAsia="方正小标宋简体"/>
          <w:sz w:val="36"/>
          <w:szCs w:val="36"/>
        </w:rPr>
      </w:pPr>
    </w:p>
    <w:p>
      <w:pPr>
        <w:pStyle w:val="2"/>
        <w:ind w:firstLine="640"/>
      </w:pPr>
    </w:p>
    <w:p>
      <w:pPr>
        <w:pStyle w:val="2"/>
        <w:ind w:firstLine="640"/>
      </w:pPr>
    </w:p>
    <w:p>
      <w:pPr>
        <w:spacing w:line="590" w:lineRule="exact"/>
        <w:ind w:firstLine="0" w:firstLineChars="0"/>
        <w:jc w:val="center"/>
        <w:rPr>
          <w:rFonts w:eastAsia="方正小标宋简体"/>
          <w:sz w:val="44"/>
          <w:szCs w:val="44"/>
        </w:rPr>
      </w:pPr>
      <w:bookmarkStart w:id="0" w:name="_Hlk134200721"/>
      <w:r>
        <w:rPr>
          <w:rFonts w:eastAsia="方正小标宋简体"/>
          <w:sz w:val="44"/>
          <w:szCs w:val="44"/>
        </w:rPr>
        <w:t>2022年《关于精准支持怀柔科学城科学仪器和传感器产业创新发展的若干措施》</w:t>
      </w:r>
    </w:p>
    <w:p>
      <w:pPr>
        <w:spacing w:line="590" w:lineRule="exact"/>
        <w:ind w:firstLine="0" w:firstLineChars="0"/>
        <w:jc w:val="center"/>
        <w:rPr>
          <w:rFonts w:eastAsia="方正小标宋简体"/>
          <w:sz w:val="44"/>
          <w:szCs w:val="44"/>
        </w:rPr>
      </w:pPr>
      <w:r>
        <w:rPr>
          <w:rFonts w:eastAsia="方正小标宋简体"/>
          <w:sz w:val="44"/>
          <w:szCs w:val="44"/>
        </w:rPr>
        <w:t>专项资金支出</w:t>
      </w:r>
    </w:p>
    <w:p>
      <w:pPr>
        <w:spacing w:line="590" w:lineRule="exact"/>
        <w:ind w:firstLine="0" w:firstLineChars="0"/>
        <w:jc w:val="center"/>
        <w:rPr>
          <w:rFonts w:eastAsia="方正小标宋简体"/>
          <w:sz w:val="44"/>
          <w:szCs w:val="44"/>
        </w:rPr>
      </w:pPr>
    </w:p>
    <w:p>
      <w:pPr>
        <w:spacing w:line="590" w:lineRule="exact"/>
        <w:ind w:firstLine="0" w:firstLineChars="0"/>
        <w:jc w:val="center"/>
        <w:rPr>
          <w:sz w:val="44"/>
          <w:szCs w:val="44"/>
        </w:rPr>
      </w:pPr>
      <w:r>
        <w:rPr>
          <w:rFonts w:eastAsia="方正小标宋简体"/>
          <w:sz w:val="44"/>
          <w:szCs w:val="44"/>
        </w:rPr>
        <w:t>绩效自评</w:t>
      </w:r>
      <w:bookmarkEnd w:id="0"/>
      <w:r>
        <w:rPr>
          <w:rFonts w:eastAsia="方正小标宋简体"/>
          <w:sz w:val="44"/>
          <w:szCs w:val="44"/>
        </w:rPr>
        <w:t>报告</w:t>
      </w:r>
    </w:p>
    <w:p>
      <w:pPr>
        <w:ind w:firstLine="880"/>
        <w:rPr>
          <w:sz w:val="44"/>
          <w:szCs w:val="44"/>
        </w:rPr>
      </w:pPr>
    </w:p>
    <w:p>
      <w:pPr>
        <w:pStyle w:val="2"/>
        <w:ind w:firstLine="640"/>
      </w:pPr>
    </w:p>
    <w:p>
      <w:pPr>
        <w:pStyle w:val="2"/>
        <w:ind w:firstLine="640"/>
      </w:pPr>
    </w:p>
    <w:p>
      <w:pPr>
        <w:pStyle w:val="2"/>
        <w:ind w:firstLine="640"/>
      </w:pPr>
    </w:p>
    <w:p>
      <w:pPr>
        <w:pStyle w:val="2"/>
        <w:ind w:firstLine="640"/>
      </w:pPr>
    </w:p>
    <w:p>
      <w:pPr>
        <w:pStyle w:val="2"/>
        <w:ind w:firstLine="640"/>
      </w:pPr>
    </w:p>
    <w:p>
      <w:pPr>
        <w:pStyle w:val="2"/>
        <w:ind w:firstLine="640"/>
      </w:pPr>
    </w:p>
    <w:p>
      <w:pPr>
        <w:ind w:firstLine="643"/>
      </w:pPr>
      <w:r>
        <w:rPr>
          <w:b/>
          <w:bCs/>
        </w:rPr>
        <w:t>组织实施：</w:t>
      </w:r>
      <w:r>
        <w:t>怀柔科学城管委会</w:t>
      </w:r>
    </w:p>
    <w:p>
      <w:pPr>
        <w:ind w:firstLine="643"/>
      </w:pPr>
      <w:r>
        <w:rPr>
          <w:b/>
          <w:bCs/>
        </w:rPr>
        <w:t>支撑机构：</w:t>
      </w:r>
      <w:r>
        <w:t>中国国际工程咨询有限公司</w:t>
      </w:r>
    </w:p>
    <w:p>
      <w:pPr>
        <w:ind w:firstLine="2240" w:firstLineChars="700"/>
      </w:pPr>
      <w:r>
        <w:t>北京国际工程咨询有限公司</w:t>
      </w:r>
    </w:p>
    <w:p>
      <w:pPr>
        <w:ind w:firstLine="643"/>
      </w:pPr>
      <w:r>
        <w:rPr>
          <w:b/>
          <w:bCs/>
        </w:rPr>
        <w:t>评价时间：</w:t>
      </w:r>
      <w:r>
        <w:t>2023年4-5月</w:t>
      </w:r>
    </w:p>
    <w:p>
      <w:pPr>
        <w:pStyle w:val="2"/>
        <w:ind w:firstLine="640"/>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435" w:charSpace="0"/>
        </w:sectPr>
      </w:pPr>
    </w:p>
    <w:sdt>
      <w:sdtPr>
        <w:rPr>
          <w:rFonts w:ascii="Times New Roman" w:hAnsi="Times New Roman" w:eastAsia="宋体" w:cs="Times New Roman"/>
          <w:color w:val="auto"/>
          <w:kern w:val="2"/>
          <w:sz w:val="22"/>
          <w:szCs w:val="28"/>
          <w:lang w:val="zh-CN"/>
        </w:rPr>
        <w:id w:val="-1556071420"/>
        <w:docPartObj>
          <w:docPartGallery w:val="Table of Contents"/>
          <w:docPartUnique/>
        </w:docPartObj>
      </w:sdtPr>
      <w:sdtEndPr>
        <w:rPr>
          <w:rFonts w:ascii="Times New Roman" w:hAnsi="Times New Roman" w:eastAsia="黑体" w:cs="Times New Roman"/>
          <w:color w:val="auto"/>
          <w:kern w:val="2"/>
          <w:sz w:val="32"/>
          <w:szCs w:val="24"/>
          <w:lang w:val="zh-CN"/>
        </w:rPr>
      </w:sdtEndPr>
      <w:sdtContent>
        <w:p>
          <w:pPr>
            <w:pStyle w:val="38"/>
            <w:spacing w:line="590" w:lineRule="exact"/>
            <w:jc w:val="center"/>
            <w:rPr>
              <w:rFonts w:ascii="Times New Roman" w:hAnsi="Times New Roman" w:eastAsia="黑体" w:cs="Times New Roman"/>
              <w:color w:val="auto"/>
              <w:kern w:val="2"/>
              <w:lang w:val="zh-CN"/>
            </w:rPr>
          </w:pPr>
          <w:r>
            <w:rPr>
              <w:rFonts w:ascii="Times New Roman" w:hAnsi="Times New Roman" w:eastAsia="黑体" w:cs="Times New Roman"/>
              <w:color w:val="auto"/>
              <w:kern w:val="2"/>
              <w:lang w:val="zh-CN"/>
            </w:rPr>
            <w:t>目 录</w:t>
          </w:r>
        </w:p>
        <w:p>
          <w:pPr>
            <w:pStyle w:val="13"/>
            <w:rPr>
              <w:rFonts w:ascii="Times New Roman" w:hAnsi="Times New Roman" w:eastAsiaTheme="minorEastAsia"/>
              <w:sz w:val="21"/>
              <w:szCs w:val="22"/>
              <w14:ligatures w14:val="standardContextual"/>
            </w:rPr>
          </w:pPr>
          <w:r>
            <w:rPr>
              <w:rFonts w:ascii="Times New Roman" w:hAnsi="Times New Roman" w:eastAsia="仿宋_GB2312"/>
            </w:rPr>
            <w:fldChar w:fldCharType="begin"/>
          </w:r>
          <w:r>
            <w:rPr>
              <w:rFonts w:ascii="Times New Roman" w:hAnsi="Times New Roman" w:eastAsia="仿宋_GB2312"/>
            </w:rPr>
            <w:instrText xml:space="preserve"> TOC \o "1-2" \h \z \u </w:instrText>
          </w:r>
          <w:r>
            <w:rPr>
              <w:rFonts w:ascii="Times New Roman" w:hAnsi="Times New Roman" w:eastAsia="仿宋_GB2312"/>
            </w:rPr>
            <w:fldChar w:fldCharType="separate"/>
          </w:r>
          <w:r>
            <w:fldChar w:fldCharType="begin"/>
          </w:r>
          <w:r>
            <w:instrText xml:space="preserve"> HYPERLINK \l "_Toc135735099" </w:instrText>
          </w:r>
          <w:r>
            <w:fldChar w:fldCharType="separate"/>
          </w:r>
          <w:r>
            <w:rPr>
              <w:rStyle w:val="17"/>
              <w:rFonts w:ascii="Times New Roman" w:hAnsi="Times New Roman"/>
            </w:rPr>
            <w:t>一、项目基本情况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_Toc135735099 \h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fldChar w:fldCharType="end"/>
          </w:r>
        </w:p>
        <w:p>
          <w:pPr>
            <w:pStyle w:val="15"/>
            <w:rPr>
              <w:rFonts w:ascii="Times New Roman" w:eastAsiaTheme="minorEastAsia"/>
              <w:sz w:val="21"/>
              <w:szCs w:val="22"/>
              <w14:ligatures w14:val="standardContextual"/>
            </w:rPr>
          </w:pPr>
          <w:r>
            <w:fldChar w:fldCharType="begin"/>
          </w:r>
          <w:r>
            <w:instrText xml:space="preserve"> HYPERLINK \l "_Toc135735100" </w:instrText>
          </w:r>
          <w:r>
            <w:fldChar w:fldCharType="separate"/>
          </w:r>
          <w:r>
            <w:rPr>
              <w:rStyle w:val="17"/>
              <w:rFonts w:ascii="Times New Roman"/>
            </w:rPr>
            <w:t>（一）项目概况</w:t>
          </w:r>
          <w:r>
            <w:rPr>
              <w:rFonts w:ascii="Times New Roman"/>
            </w:rPr>
            <w:tab/>
          </w:r>
          <w:r>
            <w:rPr>
              <w:rFonts w:ascii="Times New Roman"/>
            </w:rPr>
            <w:fldChar w:fldCharType="begin"/>
          </w:r>
          <w:r>
            <w:rPr>
              <w:rFonts w:ascii="Times New Roman"/>
            </w:rPr>
            <w:instrText xml:space="preserve"> PAGEREF _Toc135735100 \h </w:instrText>
          </w:r>
          <w:r>
            <w:rPr>
              <w:rFonts w:ascii="Times New Roman"/>
            </w:rPr>
            <w:fldChar w:fldCharType="separate"/>
          </w:r>
          <w:r>
            <w:rPr>
              <w:rFonts w:ascii="Times New Roman"/>
            </w:rPr>
            <w:t>1</w:t>
          </w:r>
          <w:r>
            <w:rPr>
              <w:rFonts w:ascii="Times New Roman"/>
            </w:rPr>
            <w:fldChar w:fldCharType="end"/>
          </w:r>
          <w:r>
            <w:rPr>
              <w:rFonts w:ascii="Times New Roman"/>
            </w:rPr>
            <w:fldChar w:fldCharType="end"/>
          </w:r>
        </w:p>
        <w:p>
          <w:pPr>
            <w:pStyle w:val="15"/>
            <w:rPr>
              <w:rFonts w:ascii="Times New Roman" w:eastAsiaTheme="minorEastAsia"/>
              <w:sz w:val="21"/>
              <w:szCs w:val="22"/>
              <w14:ligatures w14:val="standardContextual"/>
            </w:rPr>
          </w:pPr>
          <w:r>
            <w:fldChar w:fldCharType="begin"/>
          </w:r>
          <w:r>
            <w:instrText xml:space="preserve"> HYPERLINK \l "_Toc135735101" </w:instrText>
          </w:r>
          <w:r>
            <w:fldChar w:fldCharType="separate"/>
          </w:r>
          <w:r>
            <w:rPr>
              <w:rStyle w:val="17"/>
              <w:rFonts w:ascii="Times New Roman"/>
            </w:rPr>
            <w:t>（二）项目目标</w:t>
          </w:r>
          <w:r>
            <w:rPr>
              <w:rFonts w:ascii="Times New Roman"/>
            </w:rPr>
            <w:tab/>
          </w:r>
          <w:r>
            <w:rPr>
              <w:rFonts w:ascii="Times New Roman"/>
            </w:rPr>
            <w:fldChar w:fldCharType="begin"/>
          </w:r>
          <w:r>
            <w:rPr>
              <w:rFonts w:ascii="Times New Roman"/>
            </w:rPr>
            <w:instrText xml:space="preserve"> PAGEREF _Toc135735101 \h </w:instrText>
          </w:r>
          <w:r>
            <w:rPr>
              <w:rFonts w:ascii="Times New Roman"/>
            </w:rPr>
            <w:fldChar w:fldCharType="separate"/>
          </w:r>
          <w:r>
            <w:rPr>
              <w:rFonts w:ascii="Times New Roman"/>
            </w:rPr>
            <w:t>3</w:t>
          </w:r>
          <w:r>
            <w:rPr>
              <w:rFonts w:ascii="Times New Roman"/>
            </w:rPr>
            <w:fldChar w:fldCharType="end"/>
          </w:r>
          <w:r>
            <w:rPr>
              <w:rFonts w:ascii="Times New Roman"/>
            </w:rPr>
            <w:fldChar w:fldCharType="end"/>
          </w:r>
        </w:p>
        <w:p>
          <w:pPr>
            <w:pStyle w:val="13"/>
            <w:rPr>
              <w:rFonts w:ascii="Times New Roman" w:hAnsi="Times New Roman" w:eastAsiaTheme="minorEastAsia"/>
              <w:sz w:val="21"/>
              <w:szCs w:val="22"/>
              <w14:ligatures w14:val="standardContextual"/>
            </w:rPr>
          </w:pPr>
          <w:r>
            <w:fldChar w:fldCharType="begin"/>
          </w:r>
          <w:r>
            <w:instrText xml:space="preserve"> HYPERLINK \l "_Toc135735102" </w:instrText>
          </w:r>
          <w:r>
            <w:fldChar w:fldCharType="separate"/>
          </w:r>
          <w:r>
            <w:rPr>
              <w:rStyle w:val="17"/>
              <w:rFonts w:ascii="Times New Roman" w:hAnsi="Times New Roman"/>
            </w:rPr>
            <w:t>二、绩效评价工作开展情况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_Toc135735102 \h </w:instrText>
          </w:r>
          <w:r>
            <w:rPr>
              <w:rFonts w:ascii="Times New Roman" w:hAnsi="Times New Roman"/>
            </w:rPr>
            <w:fldChar w:fldCharType="separate"/>
          </w:r>
          <w:r>
            <w:rPr>
              <w:rFonts w:ascii="Times New Roman" w:hAnsi="Times New Roman"/>
            </w:rPr>
            <w:t>3</w:t>
          </w:r>
          <w:r>
            <w:rPr>
              <w:rFonts w:ascii="Times New Roman" w:hAnsi="Times New Roman"/>
            </w:rPr>
            <w:fldChar w:fldCharType="end"/>
          </w:r>
          <w:r>
            <w:rPr>
              <w:rFonts w:ascii="Times New Roman" w:hAnsi="Times New Roman"/>
            </w:rPr>
            <w:fldChar w:fldCharType="end"/>
          </w:r>
        </w:p>
        <w:p>
          <w:pPr>
            <w:pStyle w:val="15"/>
            <w:rPr>
              <w:rFonts w:ascii="Times New Roman" w:eastAsiaTheme="minorEastAsia"/>
              <w:sz w:val="21"/>
              <w:szCs w:val="22"/>
              <w14:ligatures w14:val="standardContextual"/>
            </w:rPr>
          </w:pPr>
          <w:r>
            <w:fldChar w:fldCharType="begin"/>
          </w:r>
          <w:r>
            <w:instrText xml:space="preserve"> HYPERLINK \l "_Toc135735103" </w:instrText>
          </w:r>
          <w:r>
            <w:fldChar w:fldCharType="separate"/>
          </w:r>
          <w:r>
            <w:rPr>
              <w:rStyle w:val="17"/>
              <w:rFonts w:ascii="Times New Roman"/>
            </w:rPr>
            <w:t>（一）绩效评价目的、对象和范围</w:t>
          </w:r>
          <w:r>
            <w:rPr>
              <w:rFonts w:ascii="Times New Roman"/>
            </w:rPr>
            <w:tab/>
          </w:r>
          <w:r>
            <w:rPr>
              <w:rFonts w:ascii="Times New Roman"/>
            </w:rPr>
            <w:fldChar w:fldCharType="begin"/>
          </w:r>
          <w:r>
            <w:rPr>
              <w:rFonts w:ascii="Times New Roman"/>
            </w:rPr>
            <w:instrText xml:space="preserve"> PAGEREF _Toc135735103 \h </w:instrText>
          </w:r>
          <w:r>
            <w:rPr>
              <w:rFonts w:ascii="Times New Roman"/>
            </w:rPr>
            <w:fldChar w:fldCharType="separate"/>
          </w:r>
          <w:r>
            <w:rPr>
              <w:rFonts w:ascii="Times New Roman"/>
            </w:rPr>
            <w:t>3</w:t>
          </w:r>
          <w:r>
            <w:rPr>
              <w:rFonts w:ascii="Times New Roman"/>
            </w:rPr>
            <w:fldChar w:fldCharType="end"/>
          </w:r>
          <w:r>
            <w:rPr>
              <w:rFonts w:ascii="Times New Roman"/>
            </w:rPr>
            <w:fldChar w:fldCharType="end"/>
          </w:r>
        </w:p>
        <w:p>
          <w:pPr>
            <w:pStyle w:val="15"/>
            <w:rPr>
              <w:rFonts w:ascii="Times New Roman" w:eastAsiaTheme="minorEastAsia"/>
              <w:sz w:val="21"/>
              <w:szCs w:val="22"/>
              <w14:ligatures w14:val="standardContextual"/>
            </w:rPr>
          </w:pPr>
          <w:r>
            <w:fldChar w:fldCharType="begin"/>
          </w:r>
          <w:r>
            <w:instrText xml:space="preserve"> HYPERLINK \l "_Toc135735104" </w:instrText>
          </w:r>
          <w:r>
            <w:fldChar w:fldCharType="separate"/>
          </w:r>
          <w:r>
            <w:rPr>
              <w:rStyle w:val="17"/>
              <w:rFonts w:ascii="Times New Roman"/>
            </w:rPr>
            <w:t>（二）评价指标体系及评价标准</w:t>
          </w:r>
          <w:r>
            <w:rPr>
              <w:rFonts w:ascii="Times New Roman"/>
            </w:rPr>
            <w:tab/>
          </w:r>
          <w:r>
            <w:rPr>
              <w:rFonts w:ascii="Times New Roman"/>
            </w:rPr>
            <w:fldChar w:fldCharType="begin"/>
          </w:r>
          <w:r>
            <w:rPr>
              <w:rFonts w:ascii="Times New Roman"/>
            </w:rPr>
            <w:instrText xml:space="preserve"> PAGEREF _Toc135735104 \h </w:instrText>
          </w:r>
          <w:r>
            <w:rPr>
              <w:rFonts w:ascii="Times New Roman"/>
            </w:rPr>
            <w:fldChar w:fldCharType="separate"/>
          </w:r>
          <w:r>
            <w:rPr>
              <w:rFonts w:ascii="Times New Roman"/>
            </w:rPr>
            <w:t>5</w:t>
          </w:r>
          <w:r>
            <w:rPr>
              <w:rFonts w:ascii="Times New Roman"/>
            </w:rPr>
            <w:fldChar w:fldCharType="end"/>
          </w:r>
          <w:r>
            <w:rPr>
              <w:rFonts w:ascii="Times New Roman"/>
            </w:rPr>
            <w:fldChar w:fldCharType="end"/>
          </w:r>
        </w:p>
        <w:p>
          <w:pPr>
            <w:pStyle w:val="15"/>
            <w:rPr>
              <w:rFonts w:ascii="Times New Roman" w:eastAsiaTheme="minorEastAsia"/>
              <w:sz w:val="21"/>
              <w:szCs w:val="22"/>
              <w14:ligatures w14:val="standardContextual"/>
            </w:rPr>
          </w:pPr>
          <w:r>
            <w:fldChar w:fldCharType="begin"/>
          </w:r>
          <w:r>
            <w:instrText xml:space="preserve"> HYPERLINK \l "_Toc135735105" </w:instrText>
          </w:r>
          <w:r>
            <w:fldChar w:fldCharType="separate"/>
          </w:r>
          <w:r>
            <w:rPr>
              <w:rStyle w:val="17"/>
              <w:rFonts w:ascii="Times New Roman"/>
            </w:rPr>
            <w:t>（三）绩效评价工作过程</w:t>
          </w:r>
          <w:r>
            <w:rPr>
              <w:rFonts w:ascii="Times New Roman"/>
            </w:rPr>
            <w:tab/>
          </w:r>
          <w:r>
            <w:rPr>
              <w:rFonts w:ascii="Times New Roman"/>
            </w:rPr>
            <w:fldChar w:fldCharType="begin"/>
          </w:r>
          <w:r>
            <w:rPr>
              <w:rFonts w:ascii="Times New Roman"/>
            </w:rPr>
            <w:instrText xml:space="preserve"> PAGEREF _Toc135735105 \h </w:instrText>
          </w:r>
          <w:r>
            <w:rPr>
              <w:rFonts w:ascii="Times New Roman"/>
            </w:rPr>
            <w:fldChar w:fldCharType="separate"/>
          </w:r>
          <w:r>
            <w:rPr>
              <w:rFonts w:ascii="Times New Roman"/>
            </w:rPr>
            <w:t>5</w:t>
          </w:r>
          <w:r>
            <w:rPr>
              <w:rFonts w:ascii="Times New Roman"/>
            </w:rPr>
            <w:fldChar w:fldCharType="end"/>
          </w:r>
          <w:r>
            <w:rPr>
              <w:rFonts w:ascii="Times New Roman"/>
            </w:rPr>
            <w:fldChar w:fldCharType="end"/>
          </w:r>
        </w:p>
        <w:p>
          <w:pPr>
            <w:pStyle w:val="13"/>
            <w:rPr>
              <w:rFonts w:ascii="Times New Roman" w:hAnsi="Times New Roman" w:eastAsiaTheme="minorEastAsia"/>
              <w:sz w:val="21"/>
              <w:szCs w:val="22"/>
              <w14:ligatures w14:val="standardContextual"/>
            </w:rPr>
          </w:pPr>
          <w:r>
            <w:fldChar w:fldCharType="begin"/>
          </w:r>
          <w:r>
            <w:instrText xml:space="preserve"> HYPERLINK \l "_Toc135735106" </w:instrText>
          </w:r>
          <w:r>
            <w:fldChar w:fldCharType="separate"/>
          </w:r>
          <w:r>
            <w:rPr>
              <w:rStyle w:val="17"/>
              <w:rFonts w:ascii="Times New Roman" w:hAnsi="Times New Roman"/>
            </w:rPr>
            <w:t>三、综合评价情况及评价结论</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_Toc135735106 \h </w:instrText>
          </w:r>
          <w:r>
            <w:rPr>
              <w:rFonts w:ascii="Times New Roman" w:hAnsi="Times New Roman"/>
            </w:rPr>
            <w:fldChar w:fldCharType="separate"/>
          </w:r>
          <w:r>
            <w:rPr>
              <w:rFonts w:ascii="Times New Roman" w:hAnsi="Times New Roman"/>
            </w:rPr>
            <w:t>7</w:t>
          </w:r>
          <w:r>
            <w:rPr>
              <w:rFonts w:ascii="Times New Roman" w:hAnsi="Times New Roman"/>
            </w:rPr>
            <w:fldChar w:fldCharType="end"/>
          </w:r>
          <w:r>
            <w:rPr>
              <w:rFonts w:ascii="Times New Roman" w:hAnsi="Times New Roman"/>
            </w:rPr>
            <w:fldChar w:fldCharType="end"/>
          </w:r>
        </w:p>
        <w:p>
          <w:pPr>
            <w:pStyle w:val="13"/>
            <w:rPr>
              <w:rFonts w:ascii="Times New Roman" w:hAnsi="Times New Roman" w:eastAsiaTheme="minorEastAsia"/>
              <w:sz w:val="21"/>
              <w:szCs w:val="22"/>
              <w14:ligatures w14:val="standardContextual"/>
            </w:rPr>
          </w:pPr>
          <w:r>
            <w:fldChar w:fldCharType="begin"/>
          </w:r>
          <w:r>
            <w:instrText xml:space="preserve"> HYPERLINK \l "_Toc135735107" </w:instrText>
          </w:r>
          <w:r>
            <w:fldChar w:fldCharType="separate"/>
          </w:r>
          <w:r>
            <w:rPr>
              <w:rStyle w:val="17"/>
              <w:rFonts w:ascii="Times New Roman" w:hAnsi="Times New Roman"/>
            </w:rPr>
            <w:t>四、绩效评价指标分析</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_Toc135735107 \h </w:instrText>
          </w:r>
          <w:r>
            <w:rPr>
              <w:rFonts w:ascii="Times New Roman" w:hAnsi="Times New Roman"/>
            </w:rPr>
            <w:fldChar w:fldCharType="separate"/>
          </w:r>
          <w:r>
            <w:rPr>
              <w:rFonts w:ascii="Times New Roman" w:hAnsi="Times New Roman"/>
            </w:rPr>
            <w:t>8</w:t>
          </w:r>
          <w:r>
            <w:rPr>
              <w:rFonts w:ascii="Times New Roman" w:hAnsi="Times New Roman"/>
            </w:rPr>
            <w:fldChar w:fldCharType="end"/>
          </w:r>
          <w:r>
            <w:rPr>
              <w:rFonts w:ascii="Times New Roman" w:hAnsi="Times New Roman"/>
            </w:rPr>
            <w:fldChar w:fldCharType="end"/>
          </w:r>
        </w:p>
        <w:p>
          <w:pPr>
            <w:pStyle w:val="15"/>
            <w:rPr>
              <w:rFonts w:ascii="Times New Roman" w:eastAsiaTheme="minorEastAsia"/>
              <w:sz w:val="21"/>
              <w:szCs w:val="22"/>
              <w14:ligatures w14:val="standardContextual"/>
            </w:rPr>
          </w:pPr>
          <w:r>
            <w:fldChar w:fldCharType="begin"/>
          </w:r>
          <w:r>
            <w:instrText xml:space="preserve"> HYPERLINK \l "_Toc135735108" </w:instrText>
          </w:r>
          <w:r>
            <w:fldChar w:fldCharType="separate"/>
          </w:r>
          <w:r>
            <w:rPr>
              <w:rStyle w:val="17"/>
              <w:rFonts w:ascii="Times New Roman"/>
            </w:rPr>
            <w:t>（一）决策情况</w:t>
          </w:r>
          <w:r>
            <w:rPr>
              <w:rFonts w:ascii="Times New Roman"/>
            </w:rPr>
            <w:tab/>
          </w:r>
          <w:r>
            <w:rPr>
              <w:rFonts w:ascii="Times New Roman"/>
            </w:rPr>
            <w:fldChar w:fldCharType="begin"/>
          </w:r>
          <w:r>
            <w:rPr>
              <w:rFonts w:ascii="Times New Roman"/>
            </w:rPr>
            <w:instrText xml:space="preserve"> PAGEREF _Toc135735108 \h </w:instrText>
          </w:r>
          <w:r>
            <w:rPr>
              <w:rFonts w:ascii="Times New Roman"/>
            </w:rPr>
            <w:fldChar w:fldCharType="separate"/>
          </w:r>
          <w:r>
            <w:rPr>
              <w:rFonts w:ascii="Times New Roman"/>
            </w:rPr>
            <w:t>8</w:t>
          </w:r>
          <w:r>
            <w:rPr>
              <w:rFonts w:ascii="Times New Roman"/>
            </w:rPr>
            <w:fldChar w:fldCharType="end"/>
          </w:r>
          <w:r>
            <w:rPr>
              <w:rFonts w:ascii="Times New Roman"/>
            </w:rPr>
            <w:fldChar w:fldCharType="end"/>
          </w:r>
        </w:p>
        <w:p>
          <w:pPr>
            <w:pStyle w:val="15"/>
            <w:rPr>
              <w:rFonts w:ascii="Times New Roman" w:eastAsiaTheme="minorEastAsia"/>
              <w:sz w:val="21"/>
              <w:szCs w:val="22"/>
              <w14:ligatures w14:val="standardContextual"/>
            </w:rPr>
          </w:pPr>
          <w:r>
            <w:fldChar w:fldCharType="begin"/>
          </w:r>
          <w:r>
            <w:instrText xml:space="preserve"> HYPERLINK \l "_Toc135735109" </w:instrText>
          </w:r>
          <w:r>
            <w:fldChar w:fldCharType="separate"/>
          </w:r>
          <w:r>
            <w:rPr>
              <w:rStyle w:val="17"/>
              <w:rFonts w:ascii="Times New Roman"/>
            </w:rPr>
            <w:t>（二）过程情况</w:t>
          </w:r>
          <w:r>
            <w:rPr>
              <w:rFonts w:ascii="Times New Roman"/>
            </w:rPr>
            <w:tab/>
          </w:r>
          <w:r>
            <w:rPr>
              <w:rFonts w:ascii="Times New Roman"/>
            </w:rPr>
            <w:fldChar w:fldCharType="begin"/>
          </w:r>
          <w:r>
            <w:rPr>
              <w:rFonts w:ascii="Times New Roman"/>
            </w:rPr>
            <w:instrText xml:space="preserve"> PAGEREF _Toc135735109 \h </w:instrText>
          </w:r>
          <w:r>
            <w:rPr>
              <w:rFonts w:ascii="Times New Roman"/>
            </w:rPr>
            <w:fldChar w:fldCharType="separate"/>
          </w:r>
          <w:r>
            <w:rPr>
              <w:rFonts w:ascii="Times New Roman"/>
            </w:rPr>
            <w:t>10</w:t>
          </w:r>
          <w:r>
            <w:rPr>
              <w:rFonts w:ascii="Times New Roman"/>
            </w:rPr>
            <w:fldChar w:fldCharType="end"/>
          </w:r>
          <w:r>
            <w:rPr>
              <w:rFonts w:ascii="Times New Roman"/>
            </w:rPr>
            <w:fldChar w:fldCharType="end"/>
          </w:r>
        </w:p>
        <w:p>
          <w:pPr>
            <w:pStyle w:val="15"/>
            <w:rPr>
              <w:rFonts w:ascii="Times New Roman" w:eastAsiaTheme="minorEastAsia"/>
              <w:sz w:val="21"/>
              <w:szCs w:val="22"/>
              <w14:ligatures w14:val="standardContextual"/>
            </w:rPr>
          </w:pPr>
          <w:r>
            <w:fldChar w:fldCharType="begin"/>
          </w:r>
          <w:r>
            <w:instrText xml:space="preserve"> HYPERLINK \l "_Toc135735110" </w:instrText>
          </w:r>
          <w:r>
            <w:fldChar w:fldCharType="separate"/>
          </w:r>
          <w:r>
            <w:rPr>
              <w:rStyle w:val="17"/>
              <w:rFonts w:ascii="Times New Roman"/>
            </w:rPr>
            <w:t>（三）产出情况</w:t>
          </w:r>
          <w:r>
            <w:rPr>
              <w:rFonts w:ascii="Times New Roman"/>
            </w:rPr>
            <w:tab/>
          </w:r>
          <w:r>
            <w:rPr>
              <w:rFonts w:ascii="Times New Roman"/>
            </w:rPr>
            <w:fldChar w:fldCharType="begin"/>
          </w:r>
          <w:r>
            <w:rPr>
              <w:rFonts w:ascii="Times New Roman"/>
            </w:rPr>
            <w:instrText xml:space="preserve"> PAGEREF _Toc135735110 \h </w:instrText>
          </w:r>
          <w:r>
            <w:rPr>
              <w:rFonts w:ascii="Times New Roman"/>
            </w:rPr>
            <w:fldChar w:fldCharType="separate"/>
          </w:r>
          <w:r>
            <w:rPr>
              <w:rFonts w:ascii="Times New Roman"/>
            </w:rPr>
            <w:t>12</w:t>
          </w:r>
          <w:r>
            <w:rPr>
              <w:rFonts w:ascii="Times New Roman"/>
            </w:rPr>
            <w:fldChar w:fldCharType="end"/>
          </w:r>
          <w:r>
            <w:rPr>
              <w:rFonts w:ascii="Times New Roman"/>
            </w:rPr>
            <w:fldChar w:fldCharType="end"/>
          </w:r>
        </w:p>
        <w:p>
          <w:pPr>
            <w:pStyle w:val="15"/>
            <w:rPr>
              <w:rFonts w:ascii="Times New Roman" w:eastAsiaTheme="minorEastAsia"/>
              <w:sz w:val="21"/>
              <w:szCs w:val="22"/>
              <w14:ligatures w14:val="standardContextual"/>
            </w:rPr>
          </w:pPr>
          <w:r>
            <w:fldChar w:fldCharType="begin"/>
          </w:r>
          <w:r>
            <w:instrText xml:space="preserve"> HYPERLINK \l "_Toc135735111" </w:instrText>
          </w:r>
          <w:r>
            <w:fldChar w:fldCharType="separate"/>
          </w:r>
          <w:r>
            <w:rPr>
              <w:rStyle w:val="17"/>
              <w:rFonts w:ascii="Times New Roman"/>
            </w:rPr>
            <w:t>（四）效益情况</w:t>
          </w:r>
          <w:r>
            <w:rPr>
              <w:rFonts w:ascii="Times New Roman"/>
            </w:rPr>
            <w:tab/>
          </w:r>
          <w:r>
            <w:rPr>
              <w:rFonts w:ascii="Times New Roman"/>
            </w:rPr>
            <w:fldChar w:fldCharType="begin"/>
          </w:r>
          <w:r>
            <w:rPr>
              <w:rFonts w:ascii="Times New Roman"/>
            </w:rPr>
            <w:instrText xml:space="preserve"> PAGEREF _Toc135735111 \h </w:instrText>
          </w:r>
          <w:r>
            <w:rPr>
              <w:rFonts w:ascii="Times New Roman"/>
            </w:rPr>
            <w:fldChar w:fldCharType="separate"/>
          </w:r>
          <w:r>
            <w:rPr>
              <w:rFonts w:ascii="Times New Roman"/>
            </w:rPr>
            <w:t>14</w:t>
          </w:r>
          <w:r>
            <w:rPr>
              <w:rFonts w:ascii="Times New Roman"/>
            </w:rPr>
            <w:fldChar w:fldCharType="end"/>
          </w:r>
          <w:r>
            <w:rPr>
              <w:rFonts w:ascii="Times New Roman"/>
            </w:rPr>
            <w:fldChar w:fldCharType="end"/>
          </w:r>
        </w:p>
        <w:p>
          <w:pPr>
            <w:pStyle w:val="13"/>
            <w:rPr>
              <w:rFonts w:ascii="Times New Roman" w:hAnsi="Times New Roman" w:eastAsiaTheme="minorEastAsia"/>
              <w:sz w:val="21"/>
              <w:szCs w:val="22"/>
              <w14:ligatures w14:val="standardContextual"/>
            </w:rPr>
          </w:pPr>
          <w:r>
            <w:fldChar w:fldCharType="begin"/>
          </w:r>
          <w:r>
            <w:instrText xml:space="preserve"> HYPERLINK \l "_Toc135735112" </w:instrText>
          </w:r>
          <w:r>
            <w:fldChar w:fldCharType="separate"/>
          </w:r>
          <w:r>
            <w:rPr>
              <w:rStyle w:val="17"/>
              <w:rFonts w:ascii="Times New Roman" w:hAnsi="Times New Roman"/>
            </w:rPr>
            <w:t>五、项目主要经验及做法</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_Toc135735112 \h </w:instrText>
          </w:r>
          <w:r>
            <w:rPr>
              <w:rFonts w:ascii="Times New Roman" w:hAnsi="Times New Roman"/>
            </w:rPr>
            <w:fldChar w:fldCharType="separate"/>
          </w:r>
          <w:r>
            <w:rPr>
              <w:rFonts w:ascii="Times New Roman" w:hAnsi="Times New Roman"/>
            </w:rPr>
            <w:t>16</w:t>
          </w:r>
          <w:r>
            <w:rPr>
              <w:rFonts w:ascii="Times New Roman" w:hAnsi="Times New Roman"/>
            </w:rPr>
            <w:fldChar w:fldCharType="end"/>
          </w:r>
          <w:r>
            <w:rPr>
              <w:rFonts w:ascii="Times New Roman" w:hAnsi="Times New Roman"/>
            </w:rPr>
            <w:fldChar w:fldCharType="end"/>
          </w:r>
        </w:p>
        <w:p>
          <w:pPr>
            <w:pStyle w:val="15"/>
            <w:rPr>
              <w:rFonts w:ascii="Times New Roman" w:eastAsiaTheme="minorEastAsia"/>
              <w:sz w:val="21"/>
              <w:szCs w:val="22"/>
              <w14:ligatures w14:val="standardContextual"/>
            </w:rPr>
          </w:pPr>
          <w:r>
            <w:fldChar w:fldCharType="begin"/>
          </w:r>
          <w:r>
            <w:instrText xml:space="preserve"> HYPERLINK \l "_Toc135735113" </w:instrText>
          </w:r>
          <w:r>
            <w:fldChar w:fldCharType="separate"/>
          </w:r>
          <w:r>
            <w:rPr>
              <w:rStyle w:val="17"/>
              <w:rFonts w:ascii="Times New Roman"/>
            </w:rPr>
            <w:t>（一）软硬结合，推动产业资源要素集聚</w:t>
          </w:r>
          <w:r>
            <w:rPr>
              <w:rFonts w:ascii="Times New Roman"/>
            </w:rPr>
            <w:tab/>
          </w:r>
          <w:r>
            <w:rPr>
              <w:rFonts w:ascii="Times New Roman"/>
            </w:rPr>
            <w:fldChar w:fldCharType="begin"/>
          </w:r>
          <w:r>
            <w:rPr>
              <w:rFonts w:ascii="Times New Roman"/>
            </w:rPr>
            <w:instrText xml:space="preserve"> PAGEREF _Toc135735113 \h </w:instrText>
          </w:r>
          <w:r>
            <w:rPr>
              <w:rFonts w:ascii="Times New Roman"/>
            </w:rPr>
            <w:fldChar w:fldCharType="separate"/>
          </w:r>
          <w:r>
            <w:rPr>
              <w:rFonts w:ascii="Times New Roman"/>
            </w:rPr>
            <w:t>16</w:t>
          </w:r>
          <w:r>
            <w:rPr>
              <w:rFonts w:ascii="Times New Roman"/>
            </w:rPr>
            <w:fldChar w:fldCharType="end"/>
          </w:r>
          <w:r>
            <w:rPr>
              <w:rFonts w:ascii="Times New Roman"/>
            </w:rPr>
            <w:fldChar w:fldCharType="end"/>
          </w:r>
        </w:p>
        <w:p>
          <w:pPr>
            <w:pStyle w:val="15"/>
            <w:rPr>
              <w:rFonts w:ascii="Times New Roman" w:eastAsiaTheme="minorEastAsia"/>
              <w:sz w:val="21"/>
              <w:szCs w:val="22"/>
              <w14:ligatures w14:val="standardContextual"/>
            </w:rPr>
          </w:pPr>
          <w:r>
            <w:fldChar w:fldCharType="begin"/>
          </w:r>
          <w:r>
            <w:instrText xml:space="preserve"> HYPERLINK \l "_Toc135735114" </w:instrText>
          </w:r>
          <w:r>
            <w:fldChar w:fldCharType="separate"/>
          </w:r>
          <w:r>
            <w:rPr>
              <w:rStyle w:val="17"/>
              <w:rFonts w:ascii="Times New Roman"/>
            </w:rPr>
            <w:t>（二）梯度培育，促进产业链条纵深发展</w:t>
          </w:r>
          <w:r>
            <w:rPr>
              <w:rFonts w:ascii="Times New Roman"/>
            </w:rPr>
            <w:tab/>
          </w:r>
          <w:r>
            <w:rPr>
              <w:rFonts w:ascii="Times New Roman"/>
            </w:rPr>
            <w:fldChar w:fldCharType="begin"/>
          </w:r>
          <w:r>
            <w:rPr>
              <w:rFonts w:ascii="Times New Roman"/>
            </w:rPr>
            <w:instrText xml:space="preserve"> PAGEREF _Toc135735114 \h </w:instrText>
          </w:r>
          <w:r>
            <w:rPr>
              <w:rFonts w:ascii="Times New Roman"/>
            </w:rPr>
            <w:fldChar w:fldCharType="separate"/>
          </w:r>
          <w:r>
            <w:rPr>
              <w:rFonts w:ascii="Times New Roman"/>
            </w:rPr>
            <w:t>17</w:t>
          </w:r>
          <w:r>
            <w:rPr>
              <w:rFonts w:ascii="Times New Roman"/>
            </w:rPr>
            <w:fldChar w:fldCharType="end"/>
          </w:r>
          <w:r>
            <w:rPr>
              <w:rFonts w:ascii="Times New Roman"/>
            </w:rPr>
            <w:fldChar w:fldCharType="end"/>
          </w:r>
        </w:p>
        <w:p>
          <w:pPr>
            <w:pStyle w:val="13"/>
            <w:rPr>
              <w:rFonts w:ascii="Times New Roman" w:hAnsi="Times New Roman" w:eastAsiaTheme="minorEastAsia"/>
              <w:sz w:val="21"/>
              <w:szCs w:val="22"/>
              <w14:ligatures w14:val="standardContextual"/>
            </w:rPr>
          </w:pPr>
          <w:r>
            <w:fldChar w:fldCharType="begin"/>
          </w:r>
          <w:r>
            <w:instrText xml:space="preserve"> HYPERLINK \l "_Toc135735115" </w:instrText>
          </w:r>
          <w:r>
            <w:fldChar w:fldCharType="separate"/>
          </w:r>
          <w:r>
            <w:rPr>
              <w:rStyle w:val="17"/>
              <w:rFonts w:ascii="Times New Roman" w:hAnsi="Times New Roman"/>
            </w:rPr>
            <w:t>六、存在的问题和建议</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_Toc135735115 \h </w:instrText>
          </w:r>
          <w:r>
            <w:rPr>
              <w:rFonts w:ascii="Times New Roman" w:hAnsi="Times New Roman"/>
            </w:rPr>
            <w:fldChar w:fldCharType="separate"/>
          </w:r>
          <w:r>
            <w:rPr>
              <w:rFonts w:ascii="Times New Roman" w:hAnsi="Times New Roman"/>
            </w:rPr>
            <w:t>17</w:t>
          </w:r>
          <w:r>
            <w:rPr>
              <w:rFonts w:ascii="Times New Roman" w:hAnsi="Times New Roman"/>
            </w:rPr>
            <w:fldChar w:fldCharType="end"/>
          </w:r>
          <w:r>
            <w:rPr>
              <w:rFonts w:ascii="Times New Roman" w:hAnsi="Times New Roman"/>
            </w:rPr>
            <w:fldChar w:fldCharType="end"/>
          </w:r>
        </w:p>
        <w:p>
          <w:pPr>
            <w:pStyle w:val="15"/>
            <w:rPr>
              <w:rFonts w:ascii="Times New Roman" w:eastAsiaTheme="minorEastAsia"/>
              <w:sz w:val="21"/>
              <w:szCs w:val="22"/>
              <w14:ligatures w14:val="standardContextual"/>
            </w:rPr>
          </w:pPr>
          <w:r>
            <w:fldChar w:fldCharType="begin"/>
          </w:r>
          <w:r>
            <w:instrText xml:space="preserve"> HYPERLINK \l "_Toc135735116" </w:instrText>
          </w:r>
          <w:r>
            <w:fldChar w:fldCharType="separate"/>
          </w:r>
          <w:r>
            <w:rPr>
              <w:rStyle w:val="17"/>
              <w:rFonts w:ascii="Times New Roman"/>
            </w:rPr>
            <w:t>（一）存在的问题</w:t>
          </w:r>
          <w:r>
            <w:rPr>
              <w:rFonts w:ascii="Times New Roman"/>
            </w:rPr>
            <w:tab/>
          </w:r>
          <w:r>
            <w:rPr>
              <w:rFonts w:ascii="Times New Roman"/>
            </w:rPr>
            <w:fldChar w:fldCharType="begin"/>
          </w:r>
          <w:r>
            <w:rPr>
              <w:rFonts w:ascii="Times New Roman"/>
            </w:rPr>
            <w:instrText xml:space="preserve"> PAGEREF _Toc135735116 \h </w:instrText>
          </w:r>
          <w:r>
            <w:rPr>
              <w:rFonts w:ascii="Times New Roman"/>
            </w:rPr>
            <w:fldChar w:fldCharType="separate"/>
          </w:r>
          <w:r>
            <w:rPr>
              <w:rFonts w:ascii="Times New Roman"/>
            </w:rPr>
            <w:t>17</w:t>
          </w:r>
          <w:r>
            <w:rPr>
              <w:rFonts w:ascii="Times New Roman"/>
            </w:rPr>
            <w:fldChar w:fldCharType="end"/>
          </w:r>
          <w:r>
            <w:rPr>
              <w:rFonts w:ascii="Times New Roman"/>
            </w:rPr>
            <w:fldChar w:fldCharType="end"/>
          </w:r>
        </w:p>
        <w:p>
          <w:pPr>
            <w:pStyle w:val="15"/>
            <w:rPr>
              <w:rFonts w:ascii="Times New Roman" w:eastAsiaTheme="minorEastAsia"/>
              <w:sz w:val="21"/>
              <w:szCs w:val="22"/>
              <w14:ligatures w14:val="standardContextual"/>
            </w:rPr>
          </w:pPr>
          <w:r>
            <w:fldChar w:fldCharType="begin"/>
          </w:r>
          <w:r>
            <w:instrText xml:space="preserve"> HYPERLINK \l "_Toc135735117" </w:instrText>
          </w:r>
          <w:r>
            <w:fldChar w:fldCharType="separate"/>
          </w:r>
          <w:r>
            <w:rPr>
              <w:rStyle w:val="17"/>
              <w:rFonts w:ascii="Times New Roman"/>
            </w:rPr>
            <w:t>（二）有关建议</w:t>
          </w:r>
          <w:r>
            <w:rPr>
              <w:rFonts w:ascii="Times New Roman"/>
            </w:rPr>
            <w:tab/>
          </w:r>
          <w:r>
            <w:rPr>
              <w:rFonts w:ascii="Times New Roman"/>
            </w:rPr>
            <w:fldChar w:fldCharType="begin"/>
          </w:r>
          <w:r>
            <w:rPr>
              <w:rFonts w:ascii="Times New Roman"/>
            </w:rPr>
            <w:instrText xml:space="preserve"> PAGEREF _Toc135735117 \h </w:instrText>
          </w:r>
          <w:r>
            <w:rPr>
              <w:rFonts w:ascii="Times New Roman"/>
            </w:rPr>
            <w:fldChar w:fldCharType="separate"/>
          </w:r>
          <w:r>
            <w:rPr>
              <w:rFonts w:ascii="Times New Roman"/>
            </w:rPr>
            <w:t>18</w:t>
          </w:r>
          <w:r>
            <w:rPr>
              <w:rFonts w:ascii="Times New Roman"/>
            </w:rPr>
            <w:fldChar w:fldCharType="end"/>
          </w:r>
          <w:r>
            <w:rPr>
              <w:rFonts w:ascii="Times New Roman"/>
            </w:rPr>
            <w:fldChar w:fldCharType="end"/>
          </w:r>
        </w:p>
        <w:p>
          <w:pPr>
            <w:pStyle w:val="13"/>
            <w:rPr>
              <w:rFonts w:ascii="Times New Roman" w:hAnsi="Times New Roman"/>
            </w:rPr>
          </w:pPr>
          <w:r>
            <w:rPr>
              <w:rFonts w:ascii="Times New Roman" w:hAnsi="Times New Roman" w:eastAsia="仿宋_GB2312"/>
            </w:rPr>
            <w:fldChar w:fldCharType="end"/>
          </w:r>
        </w:p>
      </w:sdtContent>
    </w:sdt>
    <w:p>
      <w:pPr>
        <w:pStyle w:val="2"/>
        <w:ind w:firstLine="640"/>
      </w:pPr>
    </w:p>
    <w:p>
      <w:pPr>
        <w:pStyle w:val="3"/>
        <w:ind w:firstLine="640"/>
        <w:sectPr>
          <w:pgSz w:w="11906" w:h="16838"/>
          <w:pgMar w:top="1440" w:right="1800" w:bottom="1440" w:left="1800" w:header="851" w:footer="992" w:gutter="0"/>
          <w:cols w:space="425" w:num="1"/>
          <w:docGrid w:type="lines" w:linePitch="435" w:charSpace="0"/>
        </w:sectPr>
      </w:pPr>
    </w:p>
    <w:p>
      <w:pPr>
        <w:pStyle w:val="3"/>
        <w:ind w:firstLine="640"/>
      </w:pPr>
      <w:bookmarkStart w:id="1" w:name="_Toc135735099"/>
      <w:r>
        <w:t>一、项目基本情况</w:t>
      </w:r>
      <w:bookmarkEnd w:id="1"/>
    </w:p>
    <w:p>
      <w:pPr>
        <w:pStyle w:val="4"/>
        <w:ind w:firstLine="640"/>
        <w:rPr>
          <w:rFonts w:ascii="Times New Roman" w:hAnsi="Times New Roman" w:cs="Times New Roman"/>
        </w:rPr>
      </w:pPr>
      <w:bookmarkStart w:id="2" w:name="_Toc135735100"/>
      <w:r>
        <w:rPr>
          <w:rFonts w:ascii="Times New Roman" w:hAnsi="Times New Roman" w:cs="Times New Roman"/>
        </w:rPr>
        <w:t>（一）项目概况</w:t>
      </w:r>
      <w:bookmarkEnd w:id="2"/>
    </w:p>
    <w:p>
      <w:pPr>
        <w:pStyle w:val="5"/>
        <w:ind w:firstLine="643"/>
        <w:rPr>
          <w:rFonts w:ascii="Times New Roman" w:hAnsi="Times New Roman" w:cs="Times New Roman"/>
          <w:b/>
        </w:rPr>
      </w:pPr>
      <w:bookmarkStart w:id="3" w:name="_Toc130464276"/>
      <w:r>
        <w:rPr>
          <w:rFonts w:ascii="Times New Roman" w:hAnsi="Times New Roman" w:cs="Times New Roman"/>
          <w:b/>
        </w:rPr>
        <w:t>1.项目背景</w:t>
      </w:r>
      <w:bookmarkEnd w:id="3"/>
    </w:p>
    <w:p>
      <w:pPr>
        <w:ind w:firstLine="640"/>
      </w:pPr>
      <w:r>
        <w:t>高端仪器装备和传感器产业是国家重点发展的战略产业。作为综合性国家科学中心，怀柔科学城始终把高端仪器装备和传感器产业作为发展的重中之重，打造中国创新、服务世界的高端仪器装备和传感器产业特区。</w:t>
      </w:r>
    </w:p>
    <w:p>
      <w:pPr>
        <w:ind w:firstLine="640"/>
      </w:pPr>
      <w:r>
        <w:t>为扎实推进《北京市加快科技创新构建高精尖经济结构系列文件》（京发〔2017〕27号），落实北京市委市政府《关于加快培育壮大新业态新模式促进北京经济高质量发展的若干意见》，推动构建产业生态完善、平台创新活跃的国际尖端科学仪器和传感器产业高地，进一步促进怀柔科学城建成世界知名的综合性科学中心，2021年，怀柔科学城管理委员会制定发布《关于精准支持怀柔科学城科学仪器和传感器产业创新发展的若干措施》（京怀科管发〔2021〕4号）（以下简称“《措施》”）。</w:t>
      </w:r>
    </w:p>
    <w:p>
      <w:pPr>
        <w:pStyle w:val="5"/>
        <w:ind w:firstLine="643"/>
        <w:rPr>
          <w:rFonts w:ascii="Times New Roman" w:hAnsi="Times New Roman" w:cs="Times New Roman"/>
          <w:b/>
        </w:rPr>
      </w:pPr>
      <w:bookmarkStart w:id="4" w:name="_Toc130464277"/>
      <w:r>
        <w:rPr>
          <w:rFonts w:ascii="Times New Roman" w:hAnsi="Times New Roman" w:cs="Times New Roman"/>
          <w:b/>
        </w:rPr>
        <w:t>2.主要内容及实施情况</w:t>
      </w:r>
      <w:bookmarkEnd w:id="4"/>
    </w:p>
    <w:p>
      <w:pPr>
        <w:ind w:firstLine="640"/>
      </w:pPr>
      <w:r>
        <w:t>《措施》支持注册在怀柔科学城内符合条件的各类创新创业主体开展科学仪器和传感器的研究开发、生产制造、培育孵化、技术转化、成果应用、维修运维等活动。聚焦分析仪器、环境监测仪器、物性测试仪器、智能传感器等产业细分领域，支持行业领军企业、科研院所、高等院校在科学城建设产学研用融合的产业技术研究院、硬科技孵化器，吸引、培育一批隐形冠军和专精特新企业集聚发展，优化科学仪器和传感器产业生态。</w:t>
      </w:r>
    </w:p>
    <w:p>
      <w:pPr>
        <w:pStyle w:val="2"/>
        <w:ind w:firstLine="640"/>
      </w:pPr>
      <w:r>
        <w:t>具体来讲，《措施》分支持科学仪器和传感器关键技术研发及落地转化、支持科学仪器产业公共平台和机构运营发展、支持科学仪器企业发展和产业生态体系建设、支持科学仪器创新产品拓展应用市场等4大方向，共计12个细分领域对怀柔科学仪器和传感器产业进行支持，主要支持方式为后补助。《措施》中同时明确了资金的申请流程及监督管理机制。为保证《措施》顺利实施，北京怀柔科学城管理委员会制定了《&lt;关于精准支持怀柔科学城科学仪器和传感器产业创新发展的若干措施&gt;的实施方案》（以下简称“《实施方案》”），配套政策实施。</w:t>
      </w:r>
    </w:p>
    <w:p>
      <w:pPr>
        <w:pStyle w:val="5"/>
        <w:ind w:firstLine="643"/>
        <w:rPr>
          <w:rFonts w:ascii="Times New Roman" w:hAnsi="Times New Roman" w:cs="Times New Roman"/>
          <w:b/>
        </w:rPr>
      </w:pPr>
      <w:bookmarkStart w:id="5" w:name="_Toc130464278"/>
      <w:r>
        <w:rPr>
          <w:rFonts w:ascii="Times New Roman" w:hAnsi="Times New Roman" w:cs="Times New Roman"/>
          <w:b/>
        </w:rPr>
        <w:t>3.资金投入和使用情况</w:t>
      </w:r>
      <w:bookmarkEnd w:id="5"/>
    </w:p>
    <w:p>
      <w:pPr>
        <w:ind w:firstLine="640"/>
      </w:pPr>
      <w:r>
        <w:t>2022年，《措施》获得市财政专项资金支持1.63亿元，涉及支持方向4个，支持企业21家，支持项目21个。</w:t>
      </w:r>
    </w:p>
    <w:p>
      <w:pPr>
        <w:pStyle w:val="4"/>
        <w:ind w:firstLine="640"/>
        <w:rPr>
          <w:rFonts w:ascii="Times New Roman" w:hAnsi="Times New Roman" w:cs="Times New Roman"/>
        </w:rPr>
      </w:pPr>
      <w:bookmarkStart w:id="6" w:name="_Toc135735101"/>
      <w:r>
        <w:rPr>
          <w:rFonts w:ascii="Times New Roman" w:hAnsi="Times New Roman" w:cs="Times New Roman"/>
        </w:rPr>
        <w:t>（二）项目目标</w:t>
      </w:r>
      <w:bookmarkEnd w:id="6"/>
    </w:p>
    <w:p>
      <w:pPr>
        <w:ind w:firstLine="640"/>
      </w:pPr>
      <w:r>
        <w:t>根据2022年度项目绩效目标表，项目年度总体目标为：从关键技术研发及落地、产业公共平台和机构运营发展、企业发展和产业生态体系建设以及创新产品拓展应用市场等四个方面，全力支持科学仪器与传感器产业在怀柔科学城落地发展。</w:t>
      </w:r>
    </w:p>
    <w:p>
      <w:pPr>
        <w:pStyle w:val="3"/>
        <w:ind w:firstLine="640"/>
      </w:pPr>
      <w:bookmarkStart w:id="7" w:name="_Toc135735102"/>
      <w:r>
        <w:t>二、绩效评价工作开展情况</w:t>
      </w:r>
      <w:bookmarkEnd w:id="7"/>
    </w:p>
    <w:p>
      <w:pPr>
        <w:pStyle w:val="4"/>
        <w:ind w:firstLine="640"/>
        <w:rPr>
          <w:rFonts w:ascii="Times New Roman" w:hAnsi="Times New Roman" w:cs="Times New Roman"/>
        </w:rPr>
      </w:pPr>
      <w:bookmarkStart w:id="8" w:name="_Toc135735103"/>
      <w:r>
        <w:rPr>
          <w:rFonts w:ascii="Times New Roman" w:hAnsi="Times New Roman" w:cs="Times New Roman"/>
        </w:rPr>
        <w:t>（一）绩效评价目的、对象和范围</w:t>
      </w:r>
      <w:bookmarkEnd w:id="8"/>
    </w:p>
    <w:p>
      <w:pPr>
        <w:pStyle w:val="5"/>
        <w:ind w:firstLine="643"/>
        <w:rPr>
          <w:rFonts w:ascii="Times New Roman" w:hAnsi="Times New Roman" w:cs="Times New Roman"/>
          <w:b/>
        </w:rPr>
      </w:pPr>
      <w:bookmarkStart w:id="9" w:name="_Toc130190748"/>
      <w:bookmarkStart w:id="10" w:name="_Toc130464282"/>
      <w:bookmarkStart w:id="11" w:name="_Toc130190747"/>
      <w:r>
        <w:rPr>
          <w:rFonts w:ascii="Times New Roman" w:hAnsi="Times New Roman" w:cs="Times New Roman"/>
          <w:b/>
        </w:rPr>
        <w:t>1.评价目的</w:t>
      </w:r>
      <w:bookmarkEnd w:id="9"/>
      <w:bookmarkEnd w:id="10"/>
    </w:p>
    <w:p>
      <w:pPr>
        <w:ind w:firstLine="640"/>
      </w:pPr>
      <w:r>
        <w:t>对2022年怀柔科学城科学仪器和传感器产业促进专项资金支出的决策、过程、产出和效益进行客观、公正的评价，通过绩效评价，梳理分析市财政专项资金的使用及管理过程，总结提炼资金使用成效、经典案例，发掘资金使用及产业发展过程中存在的问题，并提供相关建议，更好地发挥财政资金对怀柔科学城科学仪器和传感器产业的引导和放大作用。</w:t>
      </w:r>
    </w:p>
    <w:p>
      <w:pPr>
        <w:pStyle w:val="5"/>
        <w:ind w:firstLine="643"/>
        <w:rPr>
          <w:rFonts w:ascii="Times New Roman" w:hAnsi="Times New Roman" w:cs="Times New Roman"/>
          <w:b/>
        </w:rPr>
      </w:pPr>
      <w:bookmarkStart w:id="12" w:name="_Toc130464283"/>
      <w:r>
        <w:rPr>
          <w:rFonts w:ascii="Times New Roman" w:hAnsi="Times New Roman" w:cs="Times New Roman"/>
          <w:b/>
        </w:rPr>
        <w:t>2.评价对象及重点</w:t>
      </w:r>
      <w:bookmarkEnd w:id="11"/>
      <w:bookmarkEnd w:id="12"/>
    </w:p>
    <w:p>
      <w:pPr>
        <w:ind w:firstLine="640"/>
      </w:pPr>
      <w:r>
        <w:t>本次绩效评价工作针对2022年市财政给予的《关于精准支持怀柔科学城科学仪器和传感器产业创新发展的若干措施》专项资金进行绩效自评。</w:t>
      </w:r>
    </w:p>
    <w:p>
      <w:pPr>
        <w:ind w:firstLine="640"/>
      </w:pPr>
      <w:r>
        <w:t>评价重点关注怀柔科学城科学仪器和传感器产业促进专项资金安排是否符合《措施》及相关财政资金使用要求，是否突出重点、对科学仪器和传感器产业发挥培育和引导作用，资金使用是否达到预期成效，资金使用过程中存在的问题及对后续财政资金持续支持及提高财政资金使用效益相关建议等。</w:t>
      </w:r>
    </w:p>
    <w:p>
      <w:pPr>
        <w:pStyle w:val="5"/>
        <w:ind w:firstLine="643"/>
        <w:rPr>
          <w:rFonts w:ascii="Times New Roman" w:hAnsi="Times New Roman" w:cs="Times New Roman"/>
          <w:b/>
        </w:rPr>
      </w:pPr>
      <w:r>
        <w:rPr>
          <w:rFonts w:ascii="Times New Roman" w:hAnsi="Times New Roman" w:cs="Times New Roman"/>
          <w:b/>
        </w:rPr>
        <w:t>3.评价依据</w:t>
      </w:r>
    </w:p>
    <w:p>
      <w:pPr>
        <w:ind w:firstLine="640"/>
      </w:pPr>
      <w:r>
        <w:t>（1）《中华人民共和国预算法（2018修正）》（主席令第22号）；</w:t>
      </w:r>
    </w:p>
    <w:p>
      <w:pPr>
        <w:ind w:firstLine="640"/>
      </w:pPr>
      <w:r>
        <w:t>（2）《中华人民共和国预算法实施条例》（国令第729号）；</w:t>
      </w:r>
    </w:p>
    <w:p>
      <w:pPr>
        <w:ind w:firstLine="640"/>
      </w:pPr>
      <w:r>
        <w:t>（3）《中共中央 国务院关于全面实施预算绩效管理的意见》；</w:t>
      </w:r>
    </w:p>
    <w:p>
      <w:pPr>
        <w:ind w:firstLine="640"/>
      </w:pPr>
      <w:r>
        <w:t>（4）财政部《关于印发&lt;项目支出绩效评价管理办法&gt;的通知》（财预〔2020〕10号）；</w:t>
      </w:r>
    </w:p>
    <w:p>
      <w:pPr>
        <w:ind w:firstLine="640"/>
      </w:pPr>
      <w:r>
        <w:t>（5）《中共北京市委 北京市人民政府关于全面实施预算绩效管理的实施意见》（京发〔2019〕12号）；</w:t>
      </w:r>
    </w:p>
    <w:p>
      <w:pPr>
        <w:ind w:firstLine="640"/>
      </w:pPr>
      <w:r>
        <w:t>（6）《北京市项目支出绩效评价管理办法》（京财绩效〔2020〕2146号）；</w:t>
      </w:r>
    </w:p>
    <w:p>
      <w:pPr>
        <w:ind w:firstLine="640"/>
      </w:pPr>
      <w:r>
        <w:t>（7）《北京市关于支持发展高端仪器装备和传感器产业的若干政策措施实施细则》（京经信发〔2022〕45号）；</w:t>
      </w:r>
    </w:p>
    <w:p>
      <w:pPr>
        <w:ind w:firstLine="640"/>
      </w:pPr>
      <w:r>
        <w:t>（8）《北京怀柔科学城管理委员会关于印发&lt;关于精准支持怀柔科学城科学仪器和传感器产业创新发展的若干措施&gt;的通知》（京怀科管发〔2021〕4号）；</w:t>
      </w:r>
    </w:p>
    <w:p>
      <w:pPr>
        <w:ind w:firstLine="640"/>
      </w:pPr>
      <w:r>
        <w:t>（9）《北京怀柔科学城管理委员会关于印发&lt;关于精准支持怀柔科学城科学仪器和传感器产业创新发展的若干措施&gt;的实施方案》；</w:t>
      </w:r>
    </w:p>
    <w:p>
      <w:pPr>
        <w:ind w:firstLine="640"/>
      </w:pPr>
      <w:r>
        <w:t>（10）其他项目相关政策依据及项目单位提供的相关资料。</w:t>
      </w:r>
    </w:p>
    <w:p>
      <w:pPr>
        <w:pStyle w:val="4"/>
        <w:ind w:firstLine="640"/>
        <w:rPr>
          <w:rFonts w:ascii="Times New Roman" w:hAnsi="Times New Roman" w:cs="Times New Roman"/>
        </w:rPr>
      </w:pPr>
      <w:bookmarkStart w:id="13" w:name="_Toc135735104"/>
      <w:r>
        <w:rPr>
          <w:rFonts w:ascii="Times New Roman" w:hAnsi="Times New Roman" w:cs="Times New Roman"/>
        </w:rPr>
        <w:t>（二）评价指标体系及评价标准</w:t>
      </w:r>
      <w:bookmarkEnd w:id="13"/>
    </w:p>
    <w:p>
      <w:pPr>
        <w:pStyle w:val="5"/>
        <w:ind w:firstLine="643"/>
        <w:rPr>
          <w:rFonts w:ascii="Times New Roman" w:hAnsi="Times New Roman" w:cs="Times New Roman"/>
          <w:b/>
        </w:rPr>
      </w:pPr>
      <w:bookmarkStart w:id="14" w:name="_Toc130464285"/>
      <w:bookmarkStart w:id="15" w:name="_Toc126920402"/>
      <w:bookmarkStart w:id="16" w:name="_Toc130190751"/>
      <w:r>
        <w:rPr>
          <w:rFonts w:ascii="Times New Roman" w:hAnsi="Times New Roman" w:cs="Times New Roman"/>
          <w:b/>
        </w:rPr>
        <w:t>1.评价指标体系</w:t>
      </w:r>
      <w:bookmarkEnd w:id="14"/>
      <w:bookmarkEnd w:id="15"/>
    </w:p>
    <w:p>
      <w:pPr>
        <w:ind w:firstLine="640"/>
      </w:pPr>
      <w:r>
        <w:t>本次绩效评价指标体系包括4个一级指标、10个二级指标、21个三级指标。决策（10分），主要评价项目立项、绩效目标、资金投入等情况；过程（20分），主要评价资金管理、组织实施等情况；产出（40分），主要评价</w:t>
      </w:r>
      <w:r>
        <w:rPr>
          <w:rFonts w:hint="eastAsia"/>
        </w:rPr>
        <w:t>产出数量、产出质量、产出时效、产出成本</w:t>
      </w:r>
      <w:r>
        <w:t>等情况；效益（30分），主要评价项目效益（包括经济效益、社会效益和满意度）等情况。</w:t>
      </w:r>
    </w:p>
    <w:bookmarkEnd w:id="16"/>
    <w:p>
      <w:pPr>
        <w:pStyle w:val="5"/>
        <w:ind w:firstLine="643"/>
        <w:rPr>
          <w:rFonts w:ascii="Times New Roman" w:hAnsi="Times New Roman" w:cs="Times New Roman"/>
          <w:b/>
        </w:rPr>
      </w:pPr>
      <w:bookmarkStart w:id="17" w:name="_Toc130464286"/>
      <w:bookmarkStart w:id="18" w:name="_Toc126920403"/>
      <w:r>
        <w:rPr>
          <w:rFonts w:ascii="Times New Roman" w:hAnsi="Times New Roman" w:cs="Times New Roman"/>
          <w:b/>
        </w:rPr>
        <w:t>2.评价标准</w:t>
      </w:r>
      <w:bookmarkEnd w:id="17"/>
      <w:bookmarkEnd w:id="18"/>
    </w:p>
    <w:p>
      <w:pPr>
        <w:ind w:firstLine="640"/>
      </w:pPr>
      <w:r>
        <w:t>本次评价采用百分制，并依据评分进行分档分级。根据最终得分情况将评估标准分为四个等次：90（含）-100分为优；80分（含）-90分为良；60（含）-80分为中；60分以下为差。</w:t>
      </w:r>
    </w:p>
    <w:p>
      <w:pPr>
        <w:pStyle w:val="4"/>
        <w:ind w:firstLine="640"/>
        <w:rPr>
          <w:rFonts w:ascii="Times New Roman" w:hAnsi="Times New Roman" w:cs="Times New Roman"/>
        </w:rPr>
      </w:pPr>
      <w:bookmarkStart w:id="19" w:name="_Toc135735105"/>
      <w:r>
        <w:rPr>
          <w:rFonts w:ascii="Times New Roman" w:hAnsi="Times New Roman" w:cs="Times New Roman"/>
        </w:rPr>
        <w:t>（三）绩效评价工作过程</w:t>
      </w:r>
      <w:bookmarkEnd w:id="19"/>
    </w:p>
    <w:p>
      <w:pPr>
        <w:ind w:firstLine="640"/>
      </w:pPr>
      <w:r>
        <w:t>本次评价综合运用案卷研究、现场调研、问卷调查等方式方法，围绕评价指标及标准，结合专项资金实际使用情况及相关项目运行情况，评价过程中分三批次对21家企业涉及的21个项目进行了现场踏勘、集中座谈；针对获得资金支持的企业进行了问卷调查。综合资料分析、现场调研等情况，分析形成绩效评价结论。</w:t>
      </w:r>
    </w:p>
    <w:p>
      <w:pPr>
        <w:pStyle w:val="3"/>
        <w:ind w:firstLine="640"/>
      </w:pPr>
      <w:bookmarkStart w:id="20" w:name="_Toc135735106"/>
      <w:r>
        <w:t>三、综合评价情况及评价结论</w:t>
      </w:r>
      <w:bookmarkEnd w:id="20"/>
    </w:p>
    <w:p>
      <w:pPr>
        <w:ind w:firstLine="640"/>
      </w:pPr>
      <w:r>
        <w:t>2022年，怀柔科学城充分利用《措施》政策引导与市财政专项资金支持，重点围绕鼓励创业团队落地怀柔科学城、科学仪器产业公共平台和机构运营发展、科学仪器企业发展和产业生态体系建设情况等方面给予政策支持，在怀柔科学城逐步营造科学仪器和传感器产业创新发展氛围，发挥了强有力的集聚效应、吸引培育了一批可实现国产可替代的创新成果、打造了一批产业园区，为仪器和传感器产业高质量发展提供强有力的产品支持和保障，带动了产业集群化发展。但也存在专项资金项目跟踪管理有待加强、专项资金支持对《措施》中重点支持方向的覆盖面不全等情况。</w:t>
      </w:r>
    </w:p>
    <w:p>
      <w:pPr>
        <w:ind w:firstLine="640"/>
        <w:rPr>
          <w:b/>
        </w:rPr>
      </w:pPr>
      <w:r>
        <w:t>综上，《关于精准支持怀柔科学城科学仪器和传感器产业创新发展的若干措施》专项资金支出绩效自评得分为91.12分，评价等级为“优”。</w:t>
      </w:r>
      <w:r>
        <w:rPr>
          <w:bCs/>
        </w:rPr>
        <w:t>绩效自评得分情况见表3-1，绩效自评评分表详见</w:t>
      </w:r>
      <w:bookmarkStart w:id="52" w:name="_GoBack"/>
      <w:r>
        <w:rPr>
          <w:bCs/>
        </w:rPr>
        <w:t>附件</w:t>
      </w:r>
      <w:bookmarkEnd w:id="52"/>
      <w:r>
        <w:rPr>
          <w:rFonts w:hint="eastAsia"/>
          <w:bCs/>
          <w:lang w:val="en-US" w:eastAsia="zh-CN"/>
        </w:rPr>
        <w:t>1</w:t>
      </w:r>
      <w:r>
        <w:rPr>
          <w:bCs/>
        </w:rPr>
        <w:t>。</w:t>
      </w:r>
    </w:p>
    <w:p>
      <w:pPr>
        <w:widowControl/>
        <w:adjustRightInd w:val="0"/>
        <w:snapToGrid w:val="0"/>
        <w:ind w:firstLine="0" w:firstLineChars="0"/>
        <w:jc w:val="center"/>
        <w:rPr>
          <w:b/>
          <w:kern w:val="30"/>
          <w:szCs w:val="28"/>
        </w:rPr>
      </w:pPr>
      <w:r>
        <w:rPr>
          <w:b/>
          <w:kern w:val="30"/>
          <w:szCs w:val="28"/>
        </w:rPr>
        <w:t>表3-1  绩效自评得分情况表</w:t>
      </w:r>
    </w:p>
    <w:tbl>
      <w:tblPr>
        <w:tblStyle w:val="20"/>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9"/>
        <w:gridCol w:w="2127"/>
        <w:gridCol w:w="2069"/>
        <w:gridCol w:w="2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blHeader/>
          <w:jc w:val="center"/>
        </w:trPr>
        <w:tc>
          <w:tcPr>
            <w:tcW w:w="206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240" w:lineRule="auto"/>
              <w:ind w:firstLine="0" w:firstLineChars="0"/>
              <w:jc w:val="center"/>
              <w:rPr>
                <w:b/>
                <w:bCs/>
                <w:kern w:val="0"/>
                <w:sz w:val="28"/>
              </w:rPr>
            </w:pPr>
            <w:r>
              <w:rPr>
                <w:b/>
                <w:bCs/>
                <w:kern w:val="0"/>
                <w:sz w:val="28"/>
              </w:rPr>
              <w:t>评价指标</w:t>
            </w:r>
          </w:p>
        </w:tc>
        <w:tc>
          <w:tcPr>
            <w:tcW w:w="2127"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240" w:lineRule="auto"/>
              <w:ind w:firstLine="0" w:firstLineChars="0"/>
              <w:jc w:val="center"/>
              <w:rPr>
                <w:b/>
                <w:bCs/>
                <w:kern w:val="0"/>
                <w:sz w:val="28"/>
              </w:rPr>
            </w:pPr>
            <w:r>
              <w:rPr>
                <w:b/>
                <w:bCs/>
                <w:kern w:val="0"/>
                <w:sz w:val="28"/>
              </w:rPr>
              <w:t>权重（%）</w:t>
            </w:r>
          </w:p>
        </w:tc>
        <w:tc>
          <w:tcPr>
            <w:tcW w:w="206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240" w:lineRule="auto"/>
              <w:ind w:firstLine="0" w:firstLineChars="0"/>
              <w:jc w:val="center"/>
              <w:rPr>
                <w:b/>
                <w:bCs/>
                <w:kern w:val="0"/>
                <w:sz w:val="28"/>
              </w:rPr>
            </w:pPr>
            <w:r>
              <w:rPr>
                <w:b/>
                <w:bCs/>
                <w:kern w:val="0"/>
                <w:sz w:val="28"/>
              </w:rPr>
              <w:t>自评得分</w:t>
            </w:r>
          </w:p>
        </w:tc>
        <w:tc>
          <w:tcPr>
            <w:tcW w:w="223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240" w:lineRule="auto"/>
              <w:ind w:firstLine="0" w:firstLineChars="0"/>
              <w:jc w:val="center"/>
              <w:rPr>
                <w:b/>
                <w:bCs/>
                <w:kern w:val="0"/>
                <w:sz w:val="28"/>
              </w:rPr>
            </w:pPr>
            <w:r>
              <w:rPr>
                <w:b/>
                <w:bCs/>
                <w:kern w:val="0"/>
                <w:sz w:val="28"/>
              </w:rPr>
              <w:t>指标得分率（%）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20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kern w:val="0"/>
                <w:sz w:val="28"/>
              </w:rPr>
            </w:pPr>
            <w:r>
              <w:rPr>
                <w:kern w:val="0"/>
                <w:sz w:val="28"/>
              </w:rPr>
              <w:t>1.决策</w:t>
            </w:r>
          </w:p>
        </w:tc>
        <w:tc>
          <w:tcPr>
            <w:tcW w:w="21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kern w:val="0"/>
                <w:sz w:val="28"/>
              </w:rPr>
            </w:pPr>
            <w:r>
              <w:rPr>
                <w:sz w:val="28"/>
              </w:rPr>
              <w:t>10</w:t>
            </w:r>
          </w:p>
        </w:tc>
        <w:tc>
          <w:tcPr>
            <w:tcW w:w="20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kern w:val="0"/>
                <w:sz w:val="28"/>
              </w:rPr>
            </w:pPr>
            <w:r>
              <w:rPr>
                <w:color w:val="000000"/>
                <w:sz w:val="28"/>
                <w:szCs w:val="28"/>
              </w:rPr>
              <w:t>8.92</w:t>
            </w:r>
          </w:p>
        </w:tc>
        <w:tc>
          <w:tcPr>
            <w:tcW w:w="22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kern w:val="0"/>
                <w:sz w:val="28"/>
              </w:rPr>
            </w:pPr>
            <w:r>
              <w:rPr>
                <w:color w:val="000000"/>
                <w:sz w:val="28"/>
                <w:szCs w:val="28"/>
              </w:rPr>
              <w:t>89.20%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20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kern w:val="0"/>
                <w:sz w:val="28"/>
              </w:rPr>
            </w:pPr>
            <w:r>
              <w:rPr>
                <w:kern w:val="0"/>
                <w:sz w:val="28"/>
              </w:rPr>
              <w:t>2.过程</w:t>
            </w:r>
          </w:p>
        </w:tc>
        <w:tc>
          <w:tcPr>
            <w:tcW w:w="21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kern w:val="0"/>
                <w:sz w:val="28"/>
              </w:rPr>
            </w:pPr>
            <w:r>
              <w:rPr>
                <w:sz w:val="28"/>
              </w:rPr>
              <w:t>20</w:t>
            </w:r>
          </w:p>
        </w:tc>
        <w:tc>
          <w:tcPr>
            <w:tcW w:w="20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kern w:val="0"/>
                <w:sz w:val="28"/>
              </w:rPr>
            </w:pPr>
            <w:r>
              <w:rPr>
                <w:color w:val="000000"/>
                <w:sz w:val="28"/>
                <w:szCs w:val="28"/>
              </w:rPr>
              <w:t>17.80</w:t>
            </w:r>
          </w:p>
        </w:tc>
        <w:tc>
          <w:tcPr>
            <w:tcW w:w="22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kern w:val="0"/>
                <w:sz w:val="28"/>
              </w:rPr>
            </w:pPr>
            <w:r>
              <w:rPr>
                <w:color w:val="000000"/>
                <w:sz w:val="28"/>
                <w:szCs w:val="28"/>
              </w:rPr>
              <w:t>89.00%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20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kern w:val="0"/>
                <w:sz w:val="28"/>
              </w:rPr>
            </w:pPr>
            <w:r>
              <w:rPr>
                <w:kern w:val="0"/>
                <w:sz w:val="28"/>
              </w:rPr>
              <w:t>3.产出</w:t>
            </w:r>
          </w:p>
        </w:tc>
        <w:tc>
          <w:tcPr>
            <w:tcW w:w="21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kern w:val="0"/>
                <w:sz w:val="28"/>
              </w:rPr>
            </w:pPr>
            <w:r>
              <w:rPr>
                <w:sz w:val="28"/>
              </w:rPr>
              <w:t>40</w:t>
            </w:r>
          </w:p>
        </w:tc>
        <w:tc>
          <w:tcPr>
            <w:tcW w:w="20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kern w:val="0"/>
                <w:sz w:val="28"/>
              </w:rPr>
            </w:pPr>
            <w:r>
              <w:rPr>
                <w:color w:val="000000"/>
                <w:sz w:val="28"/>
                <w:szCs w:val="28"/>
              </w:rPr>
              <w:t>36.80</w:t>
            </w:r>
          </w:p>
        </w:tc>
        <w:tc>
          <w:tcPr>
            <w:tcW w:w="22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kern w:val="0"/>
                <w:sz w:val="28"/>
              </w:rPr>
            </w:pPr>
            <w:r>
              <w:rPr>
                <w:color w:val="000000"/>
                <w:sz w:val="28"/>
                <w:szCs w:val="28"/>
              </w:rPr>
              <w:t>92.00%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20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kern w:val="0"/>
                <w:sz w:val="28"/>
              </w:rPr>
            </w:pPr>
            <w:r>
              <w:rPr>
                <w:kern w:val="0"/>
                <w:sz w:val="28"/>
              </w:rPr>
              <w:t>4.效益</w:t>
            </w:r>
          </w:p>
        </w:tc>
        <w:tc>
          <w:tcPr>
            <w:tcW w:w="21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sz w:val="28"/>
              </w:rPr>
            </w:pPr>
            <w:r>
              <w:rPr>
                <w:sz w:val="28"/>
              </w:rPr>
              <w:t>30</w:t>
            </w:r>
          </w:p>
        </w:tc>
        <w:tc>
          <w:tcPr>
            <w:tcW w:w="20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sz w:val="28"/>
              </w:rPr>
            </w:pPr>
            <w:r>
              <w:rPr>
                <w:color w:val="000000"/>
                <w:sz w:val="28"/>
                <w:szCs w:val="28"/>
              </w:rPr>
              <w:t>27.60</w:t>
            </w:r>
          </w:p>
        </w:tc>
        <w:tc>
          <w:tcPr>
            <w:tcW w:w="22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kern w:val="0"/>
                <w:sz w:val="28"/>
              </w:rPr>
            </w:pPr>
            <w:r>
              <w:rPr>
                <w:color w:val="000000"/>
                <w:sz w:val="28"/>
                <w:szCs w:val="28"/>
              </w:rPr>
              <w:t>92.00%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20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b/>
                <w:bCs/>
                <w:kern w:val="0"/>
                <w:sz w:val="28"/>
              </w:rPr>
            </w:pPr>
            <w:r>
              <w:rPr>
                <w:b/>
                <w:bCs/>
                <w:kern w:val="0"/>
                <w:sz w:val="28"/>
              </w:rPr>
              <w:t>综合绩效</w:t>
            </w:r>
          </w:p>
        </w:tc>
        <w:tc>
          <w:tcPr>
            <w:tcW w:w="21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b/>
                <w:bCs/>
                <w:kern w:val="0"/>
                <w:sz w:val="28"/>
              </w:rPr>
            </w:pPr>
            <w:r>
              <w:rPr>
                <w:b/>
                <w:bCs/>
                <w:kern w:val="0"/>
                <w:sz w:val="28"/>
              </w:rPr>
              <w:t>100</w:t>
            </w:r>
          </w:p>
        </w:tc>
        <w:tc>
          <w:tcPr>
            <w:tcW w:w="20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b/>
                <w:bCs/>
                <w:kern w:val="0"/>
                <w:sz w:val="28"/>
              </w:rPr>
            </w:pPr>
            <w:r>
              <w:rPr>
                <w:b/>
                <w:bCs/>
                <w:color w:val="000000"/>
                <w:sz w:val="28"/>
                <w:szCs w:val="28"/>
              </w:rPr>
              <w:t>91.12</w:t>
            </w:r>
          </w:p>
        </w:tc>
        <w:tc>
          <w:tcPr>
            <w:tcW w:w="22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0" w:firstLineChars="0"/>
              <w:jc w:val="center"/>
              <w:rPr>
                <w:b/>
                <w:bCs/>
                <w:kern w:val="0"/>
                <w:sz w:val="28"/>
              </w:rPr>
            </w:pPr>
            <w:r>
              <w:rPr>
                <w:b/>
                <w:bCs/>
                <w:color w:val="000000"/>
                <w:sz w:val="28"/>
                <w:szCs w:val="28"/>
              </w:rPr>
              <w:t>91.12%</w:t>
            </w:r>
          </w:p>
        </w:tc>
      </w:tr>
    </w:tbl>
    <w:p>
      <w:pPr>
        <w:pStyle w:val="3"/>
        <w:ind w:firstLine="640"/>
      </w:pPr>
      <w:bookmarkStart w:id="21" w:name="_Toc135735107"/>
      <w:r>
        <w:t>四、绩效评价指标分析</w:t>
      </w:r>
      <w:bookmarkEnd w:id="21"/>
    </w:p>
    <w:p>
      <w:pPr>
        <w:pStyle w:val="4"/>
        <w:ind w:firstLine="640"/>
        <w:rPr>
          <w:rFonts w:ascii="Times New Roman" w:hAnsi="Times New Roman" w:cs="Times New Roman"/>
        </w:rPr>
      </w:pPr>
      <w:bookmarkStart w:id="22" w:name="_Toc135735108"/>
      <w:r>
        <w:rPr>
          <w:rFonts w:ascii="Times New Roman" w:hAnsi="Times New Roman" w:cs="Times New Roman"/>
        </w:rPr>
        <w:t>（一）决策情况</w:t>
      </w:r>
      <w:bookmarkEnd w:id="22"/>
    </w:p>
    <w:p>
      <w:pPr>
        <w:ind w:firstLine="640"/>
      </w:pPr>
      <w:r>
        <w:t>决策指标包括项目立项、绩效目标、资金投入3个二级指标，标准分值10分，自评得分8.92分。</w:t>
      </w:r>
    </w:p>
    <w:p>
      <w:pPr>
        <w:pStyle w:val="5"/>
        <w:ind w:firstLine="643"/>
        <w:rPr>
          <w:rFonts w:ascii="Times New Roman" w:hAnsi="Times New Roman" w:cs="Times New Roman"/>
          <w:b/>
        </w:rPr>
      </w:pPr>
      <w:bookmarkStart w:id="23" w:name="_Toc130464291"/>
      <w:r>
        <w:rPr>
          <w:rFonts w:ascii="Times New Roman" w:hAnsi="Times New Roman" w:cs="Times New Roman"/>
          <w:b/>
        </w:rPr>
        <w:t>1.项目立项</w:t>
      </w:r>
      <w:bookmarkEnd w:id="23"/>
    </w:p>
    <w:p>
      <w:pPr>
        <w:ind w:firstLine="643"/>
      </w:pPr>
      <w:r>
        <w:rPr>
          <w:b/>
          <w:bCs/>
        </w:rPr>
        <w:t>项目立项依据充分。</w:t>
      </w:r>
      <w:r>
        <w:t>《措施》于2021年制定发布，符合《北京市加快科技创新构建高精尖经济结构系列文件》（京发〔2017〕27号）、《关于加快培育壮大新业态新模式促进北京经济高质量发展的若干意见》等上位文件的相关要求，聚焦科学仪器领域，发挥怀柔科学城大科学装置平台优势和企业创新主体作用，攻克一批材料、工艺、可靠性等基础前沿、共性关键技术，支持发展一批隐形冠军和专精特新企业，优化科学仪器产业生态；符合《北京市“十四五”时期国际科技创新中心建设规划》、《北京市怀柔区国民经济和社会发展第十四个五年规划和二</w:t>
      </w:r>
      <w:r>
        <w:rPr>
          <w:rFonts w:eastAsia="微软雅黑"/>
        </w:rPr>
        <w:t>〇</w:t>
      </w:r>
      <w:r>
        <w:t>三五年远景目标纲要》等上位规划对怀柔的发展要求，打造怀柔科学城产业转化示范区，推动高端科学仪器和传感器产业集聚发展，紧扣投资、研发、设计、制造、展示、交易等关键环节，建设北京科学仪器和传感器产业高地。2022年政策尚在执行期内，项目立项具有充分的立项依据。</w:t>
      </w:r>
    </w:p>
    <w:p>
      <w:pPr>
        <w:ind w:firstLine="643"/>
      </w:pPr>
      <w:r>
        <w:rPr>
          <w:b/>
          <w:bCs/>
        </w:rPr>
        <w:t>项目立项决策程序规范。</w:t>
      </w:r>
      <w:r>
        <w:t>根据《关于申请怀柔科学城建设发展有关资金政策支持的请示》（京怀科管文〔2020〕3号）、《关于支持怀柔科学城建设发展有关事项的请示》（京财预〔2020〕2344号）等相关请示文件，《措施》涉及市级支持资金3.46亿元，分年度纳入科学城管委会部门预算保障。2022年专项资金执行过程中，成果转化与创新协调处拟定了相关请示，并提请主任办公会及党工委会议审议，取得了市政府和怀柔科学城管委会相关批复，项目立项履行了规定的程序。</w:t>
      </w:r>
    </w:p>
    <w:p>
      <w:pPr>
        <w:ind w:firstLine="640"/>
      </w:pPr>
      <w:r>
        <w:t>项目立项标准分值4分，自评得分3.7分。</w:t>
      </w:r>
    </w:p>
    <w:p>
      <w:pPr>
        <w:pStyle w:val="5"/>
        <w:ind w:firstLine="643"/>
        <w:rPr>
          <w:rFonts w:ascii="Times New Roman" w:hAnsi="Times New Roman" w:cs="Times New Roman"/>
          <w:b/>
        </w:rPr>
      </w:pPr>
      <w:bookmarkStart w:id="24" w:name="_Toc130464292"/>
      <w:r>
        <w:rPr>
          <w:rFonts w:ascii="Times New Roman" w:hAnsi="Times New Roman" w:cs="Times New Roman"/>
          <w:b/>
        </w:rPr>
        <w:t>2.绩效目标</w:t>
      </w:r>
      <w:bookmarkEnd w:id="24"/>
    </w:p>
    <w:p>
      <w:pPr>
        <w:ind w:firstLine="643"/>
      </w:pPr>
      <w:r>
        <w:rPr>
          <w:b/>
          <w:bCs/>
        </w:rPr>
        <w:t>项目绩效目标合理。</w:t>
      </w:r>
      <w:r>
        <w:t>根据2022年度项目绩效目标表，项目年度总体目标为“从关键技术研发及落地、产业公共平台和机构运营发展、企业发展和产业生态体系建设以及创新产品拓展应用市场等四个方面，全力支持科学仪器与传感器产业在怀柔科学城落地发展”。项目绩效目标设定与《措施》制定的总体政策目标基本相符，与实际需求及项目实施基本相符。</w:t>
      </w:r>
    </w:p>
    <w:p>
      <w:pPr>
        <w:ind w:firstLine="643"/>
      </w:pPr>
      <w:r>
        <w:rPr>
          <w:b/>
          <w:bCs/>
        </w:rPr>
        <w:t>项目绩效目标设置细化程度不足。</w:t>
      </w:r>
      <w:r>
        <w:t>项目仅设置总体政策目标，未对绩效目标进行细化分解，未针对市财政专项资金量划分具体任务。项目绩效目标设置细化及任务分解程度待提升。</w:t>
      </w:r>
    </w:p>
    <w:p>
      <w:pPr>
        <w:ind w:firstLine="640"/>
      </w:pPr>
      <w:r>
        <w:t>绩效目标标准分值3分，自评得分2.52分。</w:t>
      </w:r>
    </w:p>
    <w:p>
      <w:pPr>
        <w:pStyle w:val="5"/>
        <w:ind w:firstLine="643"/>
        <w:rPr>
          <w:rFonts w:ascii="Times New Roman" w:hAnsi="Times New Roman" w:cs="Times New Roman"/>
          <w:b/>
        </w:rPr>
      </w:pPr>
      <w:bookmarkStart w:id="25" w:name="_Toc130464293"/>
      <w:r>
        <w:rPr>
          <w:rFonts w:ascii="Times New Roman" w:hAnsi="Times New Roman" w:cs="Times New Roman"/>
          <w:b/>
        </w:rPr>
        <w:t>3.资金投入</w:t>
      </w:r>
      <w:bookmarkEnd w:id="25"/>
    </w:p>
    <w:p>
      <w:pPr>
        <w:ind w:firstLine="643"/>
      </w:pPr>
      <w:r>
        <w:rPr>
          <w:b/>
          <w:bCs/>
        </w:rPr>
        <w:t>项目预算编制科学。</w:t>
      </w:r>
      <w:r>
        <w:t>根据《关于支持怀柔科学城建设发展有关事项的请示》（京财预〔2020〕2344号），《措施》的制定遵循市领导专题调研指示精神，专项资金投入经过怀柔科学城管委会内部论证，预算编制科学、资金分配合理，有效支撑了重点项目的实施。</w:t>
      </w:r>
    </w:p>
    <w:p>
      <w:pPr>
        <w:ind w:firstLine="643"/>
      </w:pPr>
      <w:r>
        <w:rPr>
          <w:b/>
          <w:bCs/>
        </w:rPr>
        <w:t>专项资金分配合理。</w:t>
      </w:r>
      <w:r>
        <w:t>根据《关于申请怀柔科学城建设发展有关资金政策支持的请示》（京怀科管文〔2020〕3号），共计3.46亿元用于落实关于精准支持怀柔科学城科学仪器产业创新发展的若干措施，其中：2020年0.86亿元、2021年1.3亿元、2022年1.3亿元，2021年以后资金需求纳入科学城管委会部门预算安排，资金支持计划经市政府批复同意。根据实际项目推进，2022年专项资金实际批复预算金额为1.63亿元，适应当年产业发展资金需求。</w:t>
      </w:r>
    </w:p>
    <w:p>
      <w:pPr>
        <w:ind w:firstLine="640"/>
      </w:pPr>
      <w:r>
        <w:t>资金投入标准分值3分，自评得分2.7分。</w:t>
      </w:r>
    </w:p>
    <w:p>
      <w:pPr>
        <w:pStyle w:val="4"/>
        <w:ind w:firstLine="640"/>
        <w:rPr>
          <w:rFonts w:ascii="Times New Roman" w:hAnsi="Times New Roman" w:cs="Times New Roman"/>
        </w:rPr>
      </w:pPr>
      <w:bookmarkStart w:id="26" w:name="_Toc135735109"/>
      <w:r>
        <w:rPr>
          <w:rFonts w:ascii="Times New Roman" w:hAnsi="Times New Roman" w:cs="Times New Roman"/>
        </w:rPr>
        <w:t>（二）过程情况</w:t>
      </w:r>
      <w:bookmarkEnd w:id="26"/>
    </w:p>
    <w:p>
      <w:pPr>
        <w:ind w:firstLine="640"/>
      </w:pPr>
      <w:r>
        <w:t>过程指标包括资金管理、组织实施2个二级指标，标准分值20分，自评得分18分。</w:t>
      </w:r>
    </w:p>
    <w:p>
      <w:pPr>
        <w:pStyle w:val="5"/>
        <w:ind w:firstLine="643"/>
        <w:rPr>
          <w:rFonts w:ascii="Times New Roman" w:hAnsi="Times New Roman" w:cs="Times New Roman"/>
          <w:b/>
        </w:rPr>
      </w:pPr>
      <w:bookmarkStart w:id="27" w:name="_Toc130464295"/>
      <w:r>
        <w:rPr>
          <w:rFonts w:ascii="Times New Roman" w:hAnsi="Times New Roman" w:cs="Times New Roman"/>
          <w:b/>
        </w:rPr>
        <w:t>1.资金管理</w:t>
      </w:r>
      <w:bookmarkEnd w:id="27"/>
    </w:p>
    <w:p>
      <w:pPr>
        <w:ind w:firstLine="643"/>
      </w:pPr>
      <w:r>
        <w:rPr>
          <w:b/>
          <w:bCs/>
        </w:rPr>
        <w:t>项目资金全部到位并执行。</w:t>
      </w:r>
      <w:r>
        <w:t>根据《关于申请怀柔科学城建设发展有关资金政策支持的请示》（京怀科管文〔2020〕3号），项目申请3.46亿元用于落实关于精准支持怀柔科学城科学仪器产业创新发展的若干措施。根据项目推进情况，2022年专项资金经市财政预算资金实际拨付1.63亿元，与绩效目标表及预算批复情况一致。市级资金全部到位，且已拨付相关项目单位。</w:t>
      </w:r>
    </w:p>
    <w:p>
      <w:pPr>
        <w:ind w:firstLine="643"/>
        <w:rPr>
          <w:b/>
          <w:bCs/>
        </w:rPr>
      </w:pPr>
      <w:r>
        <w:rPr>
          <w:b/>
          <w:bCs/>
        </w:rPr>
        <w:t>项目资金使用合规。</w:t>
      </w:r>
      <w:r>
        <w:t>根据《怀柔科学城党工委第六次会议纪要》（京怀科党纪〔2021〕6号），党工委会议研究要求由创新服务处负责，财经管理处进行财务把关，按规定要求做好政策资金拨付、加强资金使用与管理等相关工作。2022年项目资金申请按《措施》要求履行了项目征集、项目评审、专家评审及公示等必要程序，成果转化与创新协调处拟定了《关于审议&lt;关于精准支持怀柔科学城科学仪器和传感器产业创新发展的若干措施&gt;政策资金支持项目征集与评审结果的请示》，资金使用经2022年第19次主任办公会审议通过，并报党工委会议通过。项目资金拨付履行了完整的审批程序和手续，资金使用符合相关的财务管理制度规定。</w:t>
      </w:r>
    </w:p>
    <w:p>
      <w:pPr>
        <w:ind w:firstLine="640"/>
      </w:pPr>
      <w:r>
        <w:t>资金管理标准分值10分，自评得分10分。</w:t>
      </w:r>
    </w:p>
    <w:p>
      <w:pPr>
        <w:pStyle w:val="5"/>
        <w:ind w:firstLine="643"/>
        <w:rPr>
          <w:rFonts w:ascii="Times New Roman" w:hAnsi="Times New Roman" w:cs="Times New Roman"/>
          <w:b/>
        </w:rPr>
      </w:pPr>
      <w:bookmarkStart w:id="28" w:name="_Toc130464296"/>
      <w:r>
        <w:rPr>
          <w:rFonts w:ascii="Times New Roman" w:hAnsi="Times New Roman" w:cs="Times New Roman"/>
          <w:b/>
        </w:rPr>
        <w:t>2.组织实施</w:t>
      </w:r>
      <w:bookmarkEnd w:id="28"/>
    </w:p>
    <w:p>
      <w:pPr>
        <w:ind w:firstLine="643"/>
        <w:rPr>
          <w:b/>
          <w:bCs/>
        </w:rPr>
      </w:pPr>
      <w:r>
        <w:rPr>
          <w:b/>
          <w:bCs/>
        </w:rPr>
        <w:t>项目的财务和业务管理制度基本健全。</w:t>
      </w:r>
      <w:r>
        <w:t>《措施》中明确了专项资金具体的支持方向和组织管理方式，且怀柔科学城管委会依据《措施》进一步细化制定了《实施方案》，项目制度基本健全。</w:t>
      </w:r>
    </w:p>
    <w:p>
      <w:pPr>
        <w:ind w:firstLine="643"/>
      </w:pPr>
      <w:r>
        <w:rPr>
          <w:b/>
          <w:bCs/>
        </w:rPr>
        <w:t>项目基本按照现有制度执行，但受产业发展周期影响，专项资金未能完全覆盖支持领域。</w:t>
      </w:r>
      <w:r>
        <w:t>《措施》中明确了专项资金具体的支持方向和组织管理方式，且怀柔科学城管委会依据《措施》进一步细化制定了《实施方案》，项目组织过程中经项目征集、企业申报、委托第三方或专家评审、内部审核、结果公示等流程，执行基本有效，有效促进了怀柔科学城科学仪器和传感器产业的发展。但由于缺少对专项任务的整体任务统筹，专项资金2022年实际仅覆盖12个细分领域中的3项。</w:t>
      </w:r>
    </w:p>
    <w:p>
      <w:pPr>
        <w:ind w:firstLine="640"/>
      </w:pPr>
      <w:r>
        <w:t>组织实施标准分值10分，自评得分7.8分。</w:t>
      </w:r>
    </w:p>
    <w:p>
      <w:pPr>
        <w:pStyle w:val="4"/>
        <w:ind w:firstLine="640"/>
        <w:rPr>
          <w:rFonts w:ascii="Times New Roman" w:hAnsi="Times New Roman" w:cs="Times New Roman"/>
        </w:rPr>
      </w:pPr>
      <w:bookmarkStart w:id="29" w:name="_Toc135735110"/>
      <w:r>
        <w:rPr>
          <w:rFonts w:ascii="Times New Roman" w:hAnsi="Times New Roman" w:cs="Times New Roman"/>
        </w:rPr>
        <w:t>（三）产出情况</w:t>
      </w:r>
      <w:bookmarkEnd w:id="29"/>
    </w:p>
    <w:p>
      <w:pPr>
        <w:ind w:firstLine="640"/>
      </w:pPr>
      <w:r>
        <w:t>产出指标包括产出数量、产出质量、产出时效、产出成本4个二级指标，标准分值40分，自评得分36.8分。</w:t>
      </w:r>
    </w:p>
    <w:p>
      <w:pPr>
        <w:pStyle w:val="5"/>
        <w:ind w:firstLine="643"/>
        <w:rPr>
          <w:rFonts w:ascii="Times New Roman" w:hAnsi="Times New Roman" w:cs="Times New Roman"/>
          <w:b/>
          <w:bCs w:val="0"/>
        </w:rPr>
      </w:pPr>
      <w:r>
        <w:rPr>
          <w:rFonts w:ascii="Times New Roman" w:hAnsi="Times New Roman" w:cs="Times New Roman"/>
          <w:b/>
          <w:bCs w:val="0"/>
        </w:rPr>
        <w:t>1.产出数量</w:t>
      </w:r>
    </w:p>
    <w:p>
      <w:pPr>
        <w:ind w:firstLine="640"/>
      </w:pPr>
      <w:r>
        <w:t>2022年，专项资金在执行过程中获取财务公司审计意见报告1份，召开专家咨询评审会1场次，支持科学仪器项目21个，完成了绩效目标表中设定的数量指标。</w:t>
      </w:r>
    </w:p>
    <w:p>
      <w:pPr>
        <w:pStyle w:val="2"/>
        <w:ind w:firstLine="640"/>
      </w:pPr>
      <w:r>
        <w:t>产出数量标准分值10分，自评得分10分。</w:t>
      </w:r>
    </w:p>
    <w:p>
      <w:pPr>
        <w:pStyle w:val="5"/>
        <w:ind w:firstLine="643"/>
        <w:rPr>
          <w:rFonts w:ascii="Times New Roman" w:hAnsi="Times New Roman" w:cs="Times New Roman"/>
          <w:b/>
          <w:bCs w:val="0"/>
        </w:rPr>
      </w:pPr>
      <w:r>
        <w:rPr>
          <w:rFonts w:ascii="Times New Roman" w:hAnsi="Times New Roman" w:cs="Times New Roman"/>
          <w:b/>
          <w:bCs w:val="0"/>
        </w:rPr>
        <w:t>2.产出质量</w:t>
      </w:r>
    </w:p>
    <w:p>
      <w:pPr>
        <w:ind w:firstLine="640"/>
      </w:pPr>
      <w:r>
        <w:t>2022年，项目资金在“鼓励创业团队落地怀柔科学城”细分领域兑现12次，是项目资金兑现频次最高的条款，兑现资金量2600万元。在政策的支持和引导带动下，怀柔科学城吸引培育了一批创业团队，提升了科学仪器产业公共平台和机构服务水平，促进了科学仪器企业发展和产业生态体系建设。如培育支持北京聚仪共享科技有限公司（米格实验室），公司以仪器共享为方向，以市场的力量推动仪器共享，契合怀柔科学城产业方向，其孵化的真空变速器项目对标国外品牌Inficon、MKS，正在进行成果转化落地；吸引北京</w:t>
      </w:r>
      <w:r>
        <w:rPr>
          <w:rFonts w:eastAsia="微软雅黑"/>
        </w:rPr>
        <w:t>昇</w:t>
      </w:r>
      <w:r>
        <w:t>科循环科技有限公司</w:t>
      </w:r>
      <w:r>
        <w:rPr>
          <w:rFonts w:hint="eastAsia"/>
          <w:lang w:eastAsia="zh-CN"/>
        </w:rPr>
        <w:t>等</w:t>
      </w:r>
      <w:r>
        <w:t>落地怀柔科学城，团队2020年实现营收规模500万，预计2023年将在怀柔形成10人的技术团队，并于2024年达到1000万营收规模。</w:t>
      </w:r>
    </w:p>
    <w:p>
      <w:pPr>
        <w:ind w:firstLine="640"/>
      </w:pPr>
      <w:r>
        <w:t>2022年，项目资金在“支持应用技术研究院运营”细分领域兑现4次，是项目资金兑现额度最高的条款，兑现资金量7000万元。在政策的支持和引导带动下，怀柔科学城依托北京怀柔仪器和传感器有限公司、北京怀胜高科技产业发展有限公司、北京怀柔科学城建设发展有限公司、北京市长城伟业投资开发有限公司等头部产业技术研究院累积的丰富人力、技术资源要素，借力其平台建设和运营管理，间接构建了产业高速发展模式。如北京怀柔仪器和传感器有限公司与中国仪器仪表学会、中国仪器仪表行业协会、信立方等专业机构在资源对接、产业导入等方面开展合作，累计对接高端仪器装备和传感器等硬科技领域高校院所、项目企业570余家，引入199家企业在怀落地，包括高端仪器装备和传感器企业68家；长城伟业硬科技产业研究院建设项目以定制厂房、企业拎包入住模式累计引入相关领域企业超过400家，产业联盟领域投入已超千万元。</w:t>
      </w:r>
    </w:p>
    <w:p>
      <w:pPr>
        <w:ind w:firstLine="640"/>
      </w:pPr>
      <w:r>
        <w:t>2022年，项目资金在“支持龙头企业、专精特新、隐形冠军企业发展”细分领域兑现4次，兑现资金量700万元。在政策的支持和引导带动下，怀柔科学城搭建了创新空间、科研创新服务平台、企业发展梯队，产业生态体系建设逐步完善，怀柔科学城仪器和传感器产业集聚效应初显。怀柔依托长城海纳硬科技加速器、怀柔科学城产业转化示范区、有色新材料科创园等产业园区，集聚相关企业依托产业生态建立上下游合作关系，形成了聚集高端仪器和传感器产业的“N”个特色园区。</w:t>
      </w:r>
    </w:p>
    <w:p>
      <w:pPr>
        <w:ind w:firstLine="640"/>
      </w:pPr>
      <w:r>
        <w:t>产出质量标准分值10分，自评得分7.8分。</w:t>
      </w:r>
    </w:p>
    <w:p>
      <w:pPr>
        <w:pStyle w:val="5"/>
        <w:ind w:firstLine="643"/>
        <w:rPr>
          <w:rFonts w:ascii="Times New Roman" w:hAnsi="Times New Roman" w:cs="Times New Roman"/>
          <w:b/>
          <w:bCs w:val="0"/>
        </w:rPr>
      </w:pPr>
      <w:r>
        <w:rPr>
          <w:rFonts w:ascii="Times New Roman" w:hAnsi="Times New Roman" w:cs="Times New Roman"/>
          <w:b/>
          <w:bCs w:val="0"/>
        </w:rPr>
        <w:t>3.产出时效</w:t>
      </w:r>
    </w:p>
    <w:p>
      <w:pPr>
        <w:ind w:firstLine="640"/>
      </w:pPr>
      <w:r>
        <w:t>根据项目绩效目标表，专项资金执行整体进度计划于11月30日前完成。受疫情影响，资金实际于12月19日完成全部拨付。</w:t>
      </w:r>
    </w:p>
    <w:p>
      <w:pPr>
        <w:ind w:firstLine="640"/>
      </w:pPr>
      <w:r>
        <w:t>产出数量标准分值10分，自评得分9分。</w:t>
      </w:r>
    </w:p>
    <w:p>
      <w:pPr>
        <w:pStyle w:val="5"/>
        <w:ind w:firstLine="643"/>
        <w:rPr>
          <w:rFonts w:ascii="Times New Roman" w:hAnsi="Times New Roman" w:cs="Times New Roman"/>
          <w:b/>
          <w:bCs w:val="0"/>
        </w:rPr>
      </w:pPr>
      <w:r>
        <w:rPr>
          <w:rFonts w:ascii="Times New Roman" w:hAnsi="Times New Roman" w:cs="Times New Roman"/>
          <w:b/>
          <w:bCs w:val="0"/>
        </w:rPr>
        <w:t>4.产出成本</w:t>
      </w:r>
    </w:p>
    <w:p>
      <w:pPr>
        <w:ind w:firstLine="640"/>
      </w:pPr>
      <w:r>
        <w:t>根据项目绩效目标表，专项资金预算控制金额为16300万元，与实际拨付金额一致。</w:t>
      </w:r>
    </w:p>
    <w:p>
      <w:pPr>
        <w:ind w:firstLine="640"/>
      </w:pPr>
      <w:r>
        <w:t>产出数量标准分值10分，自评得分10分。</w:t>
      </w:r>
    </w:p>
    <w:p>
      <w:pPr>
        <w:pStyle w:val="4"/>
        <w:ind w:firstLine="640"/>
        <w:rPr>
          <w:rFonts w:ascii="Times New Roman" w:hAnsi="Times New Roman" w:cs="Times New Roman"/>
        </w:rPr>
      </w:pPr>
      <w:bookmarkStart w:id="30" w:name="_Toc135735111"/>
      <w:r>
        <w:rPr>
          <w:rFonts w:ascii="Times New Roman" w:hAnsi="Times New Roman" w:cs="Times New Roman"/>
        </w:rPr>
        <w:t>（四）效益情况</w:t>
      </w:r>
      <w:bookmarkEnd w:id="30"/>
    </w:p>
    <w:p>
      <w:pPr>
        <w:ind w:firstLine="640"/>
      </w:pPr>
      <w:r>
        <w:t>效益指标包括经济效益、社会效益、满意度3个二级指标，标准分值30分，自评得分27.6分。</w:t>
      </w:r>
    </w:p>
    <w:p>
      <w:pPr>
        <w:pStyle w:val="5"/>
        <w:ind w:firstLine="643"/>
        <w:rPr>
          <w:rFonts w:ascii="Times New Roman" w:hAnsi="Times New Roman" w:cs="Times New Roman"/>
          <w:b/>
          <w:bCs w:val="0"/>
        </w:rPr>
      </w:pPr>
      <w:r>
        <w:rPr>
          <w:rFonts w:ascii="Times New Roman" w:hAnsi="Times New Roman" w:cs="Times New Roman"/>
          <w:b/>
          <w:bCs w:val="0"/>
        </w:rPr>
        <w:t>1.经济效益</w:t>
      </w:r>
    </w:p>
    <w:p>
      <w:pPr>
        <w:ind w:firstLine="640"/>
      </w:pPr>
      <w:r>
        <w:t>通过政策支持和引导带动，从2019年至今，怀柔科学城以北京怀柔综合性国家科学中心建设为重要契机，着力发展高端仪器装备和传感器产业，打造中国创新、服务世界的高端仪器装备和传感器产业特区，集聚科学仪器和传感器企业从20家增加至283家，其中规上企业8家，2022年实现规上企业产值13.9亿元。</w:t>
      </w:r>
    </w:p>
    <w:p>
      <w:pPr>
        <w:ind w:firstLine="640"/>
      </w:pPr>
      <w:r>
        <w:t>经济效益标准分值8分，自评得分6.4分。</w:t>
      </w:r>
    </w:p>
    <w:p>
      <w:pPr>
        <w:pStyle w:val="5"/>
        <w:ind w:firstLine="643"/>
        <w:rPr>
          <w:rFonts w:ascii="Times New Roman" w:hAnsi="Times New Roman" w:cs="Times New Roman"/>
          <w:b/>
          <w:bCs w:val="0"/>
        </w:rPr>
      </w:pPr>
      <w:r>
        <w:rPr>
          <w:rFonts w:ascii="Times New Roman" w:hAnsi="Times New Roman" w:cs="Times New Roman"/>
          <w:b/>
          <w:bCs w:val="0"/>
        </w:rPr>
        <w:t>2.社会效益</w:t>
      </w:r>
    </w:p>
    <w:p>
      <w:pPr>
        <w:ind w:firstLine="640"/>
      </w:pPr>
      <w:r>
        <w:t>通过《措施》的支持与引导，怀柔科学仪器和传感器产业创新主体加快集聚，已成为全球大科学装置最密集的地区之一，涉及的仪器装备超过一万台套，汇聚众多科研院校，为发展高端仪器装备和传感器产业提供了广阔应用场景、创新迭代平台和人才技术支撑。2022年，专项资金通过支持产业技术研究院、创业团队、企业发展等，支持了21个项目21家企业，促进了企业集聚发展，推动了科学仪器和传感器领域相关团队、技术落地。怀柔逐步形成了产业链上下游生态互补、创新主体不断集聚的产业纵深发展格局，吸引带动相关企业入驻怀柔，带动了当地人员就业，实现了企业主体、产业技术、产业人才融合发展的局面，为怀柔科学城科学仪器和传感器产业生态构建和产业持续发展提供了较大助力，具有显著的社会效益。</w:t>
      </w:r>
    </w:p>
    <w:p>
      <w:pPr>
        <w:ind w:firstLine="640"/>
      </w:pPr>
      <w:r>
        <w:t>社会效益标准分值16分，下设仪器企业数量、产业生态建设两个三级指标，自评得分分别为7.6分，总分15.2分。</w:t>
      </w:r>
    </w:p>
    <w:p>
      <w:pPr>
        <w:pStyle w:val="5"/>
        <w:ind w:firstLine="643"/>
        <w:rPr>
          <w:rFonts w:ascii="Times New Roman" w:hAnsi="Times New Roman" w:cs="Times New Roman"/>
          <w:b/>
          <w:bCs w:val="0"/>
        </w:rPr>
      </w:pPr>
      <w:r>
        <w:rPr>
          <w:rFonts w:ascii="Times New Roman" w:hAnsi="Times New Roman" w:cs="Times New Roman"/>
          <w:b/>
          <w:bCs w:val="0"/>
        </w:rPr>
        <w:t>3.服务对象满意度</w:t>
      </w:r>
    </w:p>
    <w:p>
      <w:pPr>
        <w:ind w:firstLine="640"/>
      </w:pPr>
      <w:r>
        <w:t>根据2022年度《关于精准支持怀柔科学城科学仪器和传感器产业创新发展的若干措施》专项资金支出绩效评价调查问卷情况，21家受支持企业中19家对专项资金进行了反馈</w:t>
      </w:r>
      <w:r>
        <w:rPr>
          <w:rFonts w:hint="eastAsia"/>
        </w:rPr>
        <w:t>，相关企业</w:t>
      </w:r>
      <w:r>
        <w:t>对专项资金支持政策整体满意度</w:t>
      </w:r>
      <w:r>
        <w:rPr>
          <w:rFonts w:hint="eastAsia"/>
        </w:rPr>
        <w:t>表示</w:t>
      </w:r>
      <w:r>
        <w:t>“满意”。</w:t>
      </w:r>
    </w:p>
    <w:p>
      <w:pPr>
        <w:ind w:firstLine="640"/>
      </w:pPr>
      <w:r>
        <w:t>满意度标准分值6分，自评得分6分。</w:t>
      </w:r>
    </w:p>
    <w:p>
      <w:pPr>
        <w:pStyle w:val="3"/>
        <w:ind w:firstLine="640"/>
      </w:pPr>
      <w:bookmarkStart w:id="31" w:name="_Toc135735112"/>
      <w:r>
        <w:t>五、项目主要经验及做法</w:t>
      </w:r>
      <w:bookmarkEnd w:id="31"/>
    </w:p>
    <w:p>
      <w:pPr>
        <w:pStyle w:val="4"/>
        <w:ind w:firstLine="640"/>
        <w:rPr>
          <w:rFonts w:ascii="Times New Roman" w:hAnsi="Times New Roman" w:cs="Times New Roman"/>
        </w:rPr>
      </w:pPr>
      <w:bookmarkStart w:id="32" w:name="_Toc135735113"/>
      <w:r>
        <w:rPr>
          <w:rFonts w:ascii="Times New Roman" w:hAnsi="Times New Roman" w:cs="Times New Roman"/>
        </w:rPr>
        <w:t>（一）软硬结合，推动产业资源要素集聚</w:t>
      </w:r>
      <w:bookmarkEnd w:id="32"/>
    </w:p>
    <w:p>
      <w:pPr>
        <w:ind w:firstLine="640"/>
        <w:rPr>
          <w:color w:val="FF0000"/>
        </w:rPr>
      </w:pPr>
      <w:r>
        <w:t>通过支持应用技术研究院，提升怀柔科学城科学仪器和传感器产业的空间载体和重点企业主体等产业发展的硬件要素集聚，通过鼓励创业团队落地怀柔科学城，加强产业人才队伍建设，通过打造“硬件环境+人才软实力”的方式，形成产业多要素集聚发展的态势。通过政策支持引导，怀柔区内已建成有色金属新材料科创园、机械研究总院怀柔科创基地、创新小镇、北科建科创园区等多个科技园区，为仪器和传感器产业提供近50万平米的办公空间。空间储备方面，1平方公里绿色生产制造基地累计完成36家企业1191.98亩土地收购，规划建筑面积120万平米，为后期成熟科学仪器和传感器项目提供产业空间。同时，依托碳纳米管和创业园，聚焦光电、低温、真空、电镜、质谱等五大高端科学仪器细分领域打造专业特色园区。将国科科仪仪器产业园区、米格实验室共性技术服务与孵化平台等创业园区作为卡脖子技术攻关的苗圃，成为中科院、高校等科技成果转化承载地。从2019年至今，产业空间持续释放，集聚科学仪器和传感器企业从20家增加至283家，其中规上企业8家，2022年实现规上企业产值13.9亿元。</w:t>
      </w:r>
    </w:p>
    <w:p>
      <w:pPr>
        <w:pStyle w:val="4"/>
        <w:ind w:firstLine="640"/>
        <w:rPr>
          <w:rFonts w:ascii="Times New Roman" w:hAnsi="Times New Roman" w:cs="Times New Roman"/>
        </w:rPr>
      </w:pPr>
      <w:bookmarkStart w:id="33" w:name="_Toc135735114"/>
      <w:r>
        <w:rPr>
          <w:rFonts w:ascii="Times New Roman" w:hAnsi="Times New Roman" w:cs="Times New Roman"/>
        </w:rPr>
        <w:t>（二）梯度培育，促进产业链条纵深发展</w:t>
      </w:r>
      <w:bookmarkEnd w:id="33"/>
    </w:p>
    <w:p>
      <w:pPr>
        <w:ind w:firstLine="640"/>
      </w:pPr>
      <w:r>
        <w:t>怀柔科学城发力支持企业发展，通过支持龙头企业、隐形冠军、专精特新企业发展，逐步形成了产业链上下游生态互补、创新主体不断集聚的产业纵深发展格局。通过政策支持及引导带动，目前已培育前锋科技、万维盈创、中科赛凌、埃彼咨能源、康普锡威5家成长为专精特新企业。怀柔科学仪器与传感器产业链融合程度逐步加深，如2022年引入的北京六维博艺精密机械技术有限公司已与多场低温、中科艾克米等建立业务联系，在纳米机械转台、超高精度真空腔体等关键零部件精密机械研发制造领域共同开展工作，且目前正联合怀柔仪器公司、怀柔科服公司等单位积极申请市级公共服务平台，进一步完善在怀产业链条。</w:t>
      </w:r>
    </w:p>
    <w:p>
      <w:pPr>
        <w:pStyle w:val="3"/>
        <w:ind w:firstLine="640"/>
      </w:pPr>
      <w:bookmarkStart w:id="34" w:name="_Toc135735115"/>
      <w:r>
        <w:t>六、存在的问题和建议</w:t>
      </w:r>
      <w:bookmarkEnd w:id="34"/>
    </w:p>
    <w:p>
      <w:pPr>
        <w:pStyle w:val="4"/>
        <w:ind w:firstLine="640"/>
        <w:rPr>
          <w:rFonts w:ascii="Times New Roman" w:hAnsi="Times New Roman" w:cs="Times New Roman"/>
        </w:rPr>
      </w:pPr>
      <w:bookmarkStart w:id="35" w:name="_Toc135735116"/>
      <w:r>
        <w:rPr>
          <w:rFonts w:ascii="Times New Roman" w:hAnsi="Times New Roman" w:cs="Times New Roman"/>
        </w:rPr>
        <w:t>（一）存在的问题</w:t>
      </w:r>
      <w:bookmarkEnd w:id="35"/>
    </w:p>
    <w:p>
      <w:pPr>
        <w:pStyle w:val="5"/>
        <w:ind w:firstLine="643"/>
        <w:rPr>
          <w:rFonts w:ascii="Times New Roman" w:hAnsi="Times New Roman" w:cs="Times New Roman"/>
          <w:b/>
          <w:bCs w:val="0"/>
        </w:rPr>
      </w:pPr>
      <w:bookmarkStart w:id="36" w:name="_Toc130464305"/>
      <w:r>
        <w:rPr>
          <w:rFonts w:ascii="Times New Roman" w:hAnsi="Times New Roman" w:cs="Times New Roman"/>
          <w:b/>
        </w:rPr>
        <w:t>1</w:t>
      </w:r>
      <w:bookmarkEnd w:id="36"/>
      <w:bookmarkStart w:id="37" w:name="_Toc130464306"/>
      <w:r>
        <w:rPr>
          <w:rFonts w:ascii="Times New Roman" w:hAnsi="Times New Roman" w:cs="Times New Roman"/>
          <w:b/>
          <w:bCs w:val="0"/>
        </w:rPr>
        <w:t>.专项资金未能覆盖《措施》重点支持方向</w:t>
      </w:r>
      <w:bookmarkEnd w:id="37"/>
    </w:p>
    <w:p>
      <w:pPr>
        <w:ind w:firstLine="640"/>
      </w:pPr>
      <w:r>
        <w:t>《措施》中共设定12个专项资金支持的细分方向，但实际执行过程中，支持方向的覆盖力度不足，2022年，仅在“鼓励创业团队落地怀柔科学城”、“支持应用技术研究院运营”、“支持龙头企业、专精特新、隐形冠军企业发展”等3个细分方向给予了资金支持，专项资金对相关细分领域的支持和引导作用有待进一步加强。</w:t>
      </w:r>
    </w:p>
    <w:p>
      <w:pPr>
        <w:pStyle w:val="5"/>
        <w:ind w:firstLine="643"/>
        <w:rPr>
          <w:rFonts w:ascii="Times New Roman" w:hAnsi="Times New Roman" w:cs="Times New Roman"/>
          <w:b/>
          <w:bCs w:val="0"/>
        </w:rPr>
      </w:pPr>
      <w:r>
        <w:rPr>
          <w:rFonts w:ascii="Times New Roman" w:hAnsi="Times New Roman" w:cs="Times New Roman"/>
          <w:b/>
          <w:bCs w:val="0"/>
        </w:rPr>
        <w:t>2.</w:t>
      </w:r>
      <w:bookmarkStart w:id="38" w:name="_Hlk135692222"/>
      <w:r>
        <w:rPr>
          <w:rFonts w:ascii="Times New Roman" w:hAnsi="Times New Roman" w:cs="Times New Roman"/>
          <w:b/>
          <w:bCs w:val="0"/>
        </w:rPr>
        <w:t>项目跟踪管理有待加强</w:t>
      </w:r>
      <w:bookmarkEnd w:id="38"/>
    </w:p>
    <w:p>
      <w:pPr>
        <w:ind w:firstLine="640"/>
      </w:pPr>
      <w:r>
        <w:t>项目申报阶段，部分支持方向要求项目申报单位明确了项目任务及项目目标，其中项目目标包含2年度整体目标及1年度中期目标，并设定了考核指标。但在政策实际执行过程中，对项目单位绩效目标的监督考核未及时跟进。另外，《实施方案》及申报通知中在对创业团队的支持条件中申明“自注册或迁址之日起18个月内，能够上市推出或转化成为产品并形成销售收入”，根据实地调研情况，由于创业团队多处于初创发展期，该项目标有多家项目单位完成度较低，如北京纳能仪器科技有限公司的传感器产品尚在小试阶段，距离产业化仍需一定周期。</w:t>
      </w:r>
    </w:p>
    <w:p>
      <w:pPr>
        <w:pStyle w:val="5"/>
        <w:ind w:firstLine="643"/>
        <w:rPr>
          <w:rFonts w:ascii="Times New Roman" w:hAnsi="Times New Roman" w:cs="Times New Roman"/>
          <w:b/>
        </w:rPr>
      </w:pPr>
      <w:r>
        <w:rPr>
          <w:rFonts w:ascii="Times New Roman" w:hAnsi="Times New Roman" w:cs="Times New Roman"/>
          <w:b/>
        </w:rPr>
        <w:t>3.政策效果有待进一步展现</w:t>
      </w:r>
    </w:p>
    <w:p>
      <w:pPr>
        <w:ind w:firstLine="640"/>
      </w:pPr>
      <w:r>
        <w:t>科学仪器和传感器产业属于智力密集型制造业，《措施》执行期虽已满，但产业发展正处于起步期向成长期转型的关键阶段，产业生态建设仍需持续发力，如专项资金在“支持科学仪器和传感器关键核心技术研发”“支持先进工艺技术应用”等细分领域兑现频次低。关键核心技术的研发突破及先进技术的市场化应用多于产业培育中后期才能批量展现，政策效益尚未完全展现。</w:t>
      </w:r>
    </w:p>
    <w:p>
      <w:pPr>
        <w:pStyle w:val="4"/>
        <w:ind w:firstLine="640"/>
        <w:rPr>
          <w:rFonts w:ascii="Times New Roman" w:hAnsi="Times New Roman" w:cs="Times New Roman"/>
        </w:rPr>
      </w:pPr>
      <w:bookmarkStart w:id="39" w:name="_Toc135735117"/>
      <w:r>
        <w:rPr>
          <w:rFonts w:ascii="Times New Roman" w:hAnsi="Times New Roman" w:cs="Times New Roman"/>
        </w:rPr>
        <w:t>（二）有关建议</w:t>
      </w:r>
      <w:bookmarkEnd w:id="39"/>
    </w:p>
    <w:p>
      <w:pPr>
        <w:pStyle w:val="5"/>
        <w:ind w:firstLine="643"/>
        <w:rPr>
          <w:rFonts w:ascii="Times New Roman" w:hAnsi="Times New Roman" w:cs="Times New Roman"/>
          <w:b/>
        </w:rPr>
      </w:pPr>
      <w:bookmarkStart w:id="40" w:name="_Toc130464309"/>
      <w:r>
        <w:rPr>
          <w:rFonts w:ascii="Times New Roman" w:hAnsi="Times New Roman" w:cs="Times New Roman"/>
          <w:b/>
        </w:rPr>
        <w:t>1</w:t>
      </w:r>
      <w:bookmarkEnd w:id="40"/>
      <w:bookmarkStart w:id="41" w:name="_Toc130464310"/>
      <w:r>
        <w:rPr>
          <w:rFonts w:ascii="Times New Roman" w:hAnsi="Times New Roman" w:cs="Times New Roman"/>
          <w:b/>
        </w:rPr>
        <w:t>.优化政策设计，强化专项资金引导作用</w:t>
      </w:r>
      <w:bookmarkEnd w:id="41"/>
    </w:p>
    <w:p>
      <w:pPr>
        <w:widowControl/>
        <w:ind w:firstLine="640"/>
      </w:pPr>
      <w:r>
        <w:t>进一步明确资金分配的原则、方法和标准，加强任务的统筹整合，确保资金分配与重点任务分配的一致性，突出重点任务，提升专项资金支持的聚焦度。建议怀柔区统筹考虑产业政策、产业发展、财政资金、企业诉求等情况，基于新形势下支持方向及需求的变化适当优化调整支持方向、内容和方式，加强资金引导力度，如增加基金类项目支持，及早跟踪并资金介入原始创新项目，争取产业发展的主动权；考虑增设企业中后期发展支持，如支持中试平台的运营、支持尖端技术市场推广营销等；增加医药健康与科学仪器和传感器产业融合发展支持等。</w:t>
      </w:r>
    </w:p>
    <w:p>
      <w:pPr>
        <w:pStyle w:val="5"/>
        <w:widowControl/>
        <w:ind w:firstLine="643"/>
        <w:rPr>
          <w:rFonts w:ascii="Times New Roman" w:hAnsi="Times New Roman" w:cs="Times New Roman"/>
          <w:b/>
        </w:rPr>
      </w:pPr>
      <w:bookmarkStart w:id="42" w:name="_Toc130464311"/>
      <w:r>
        <w:rPr>
          <w:rFonts w:ascii="Times New Roman" w:hAnsi="Times New Roman" w:cs="Times New Roman"/>
          <w:b/>
        </w:rPr>
        <w:t>2.强化政策执行，避免出现资金支出不合理情况</w:t>
      </w:r>
      <w:bookmarkEnd w:id="42"/>
    </w:p>
    <w:p>
      <w:pPr>
        <w:widowControl/>
        <w:ind w:firstLine="643"/>
      </w:pPr>
      <w:r>
        <w:rPr>
          <w:b/>
          <w:bCs/>
        </w:rPr>
        <w:t>一是</w:t>
      </w:r>
      <w:r>
        <w:t>避免出现财政资金支出超出政策支持范围的情况。财政资金的使用应充分依据相关政策办法，对于随形势变化，原政策支持重点未覆盖的方向领域，应按程序及时调整政策措施。如在政策支持方向中增加重大事项“一事一议”工作机制。</w:t>
      </w:r>
      <w:r>
        <w:rPr>
          <w:b/>
          <w:bCs/>
        </w:rPr>
        <w:t>二是</w:t>
      </w:r>
      <w:r>
        <w:t>加强项目资金使用管理。专项资金主管部门应进一步明确专项资金的具体支出范围和标准；加强对项目单位资金使用的监督，对申报方案既定目标完成情况的考核。</w:t>
      </w:r>
    </w:p>
    <w:p>
      <w:pPr>
        <w:pStyle w:val="5"/>
        <w:widowControl/>
        <w:ind w:firstLine="643"/>
        <w:rPr>
          <w:rFonts w:ascii="Times New Roman" w:hAnsi="Times New Roman" w:cs="Times New Roman"/>
          <w:b/>
        </w:rPr>
      </w:pPr>
      <w:bookmarkStart w:id="43" w:name="_Toc130464312"/>
      <w:r>
        <w:rPr>
          <w:rFonts w:ascii="Times New Roman" w:hAnsi="Times New Roman" w:cs="Times New Roman"/>
          <w:b/>
        </w:rPr>
        <w:t>3.</w:t>
      </w:r>
      <w:bookmarkEnd w:id="43"/>
      <w:r>
        <w:rPr>
          <w:rFonts w:ascii="Times New Roman" w:hAnsi="Times New Roman" w:cs="Times New Roman"/>
          <w:b/>
        </w:rPr>
        <w:t>持续加大《措施》支持力度，拓宽支持领域</w:t>
      </w:r>
    </w:p>
    <w:p>
      <w:pPr>
        <w:widowControl/>
        <w:ind w:firstLine="640"/>
        <w:sectPr>
          <w:footerReference r:id="rId9" w:type="default"/>
          <w:pgSz w:w="11906" w:h="16838"/>
          <w:pgMar w:top="1440" w:right="1800" w:bottom="1440" w:left="1800" w:header="851" w:footer="992" w:gutter="0"/>
          <w:pgNumType w:start="1"/>
          <w:cols w:space="425" w:num="1"/>
          <w:docGrid w:type="lines" w:linePitch="435" w:charSpace="0"/>
        </w:sectPr>
      </w:pPr>
      <w:r>
        <w:t>基于仪器和传感器产业小而散的特点，产业培育周期较长，怀柔科学城科学仪器和传感器产业发展正处于起步期向成长期转型的关键阶段，短期内支撑地区发展的驱动力有限。且当前产业呈现规模逐渐扩大、技术水平稳步提升、应用领域日益广泛的特点，政策还需进一步加大支持力度、拓宽支持领域。建议怀柔区落实好《加快推进高端仪器创新发展实施方案》《加快推进传感器及智能化仪器仪表产业发展行动计划》《关于支持发展高端仪器装备和传感器产业的若干政策措施实施细则》等有关要求，积极争取各级财政资金支持，持续加大产业发展的政策资金保障力度，稳固、促进产业集聚发展态势。</w:t>
      </w:r>
      <w:bookmarkStart w:id="44" w:name="_Toc134189450"/>
      <w:bookmarkStart w:id="45" w:name="_Toc134124738"/>
      <w:bookmarkStart w:id="46" w:name="_Toc134377204"/>
      <w:r>
        <w:br w:type="page"/>
      </w:r>
      <w:bookmarkEnd w:id="44"/>
      <w:bookmarkEnd w:id="45"/>
      <w:bookmarkEnd w:id="46"/>
    </w:p>
    <w:p>
      <w:pPr>
        <w:pStyle w:val="3"/>
        <w:ind w:firstLine="0" w:firstLineChars="0"/>
      </w:pPr>
      <w:bookmarkStart w:id="47" w:name="_Toc134377205"/>
      <w:bookmarkStart w:id="48" w:name="_Toc135735119"/>
      <w:bookmarkStart w:id="49" w:name="_Toc135733793"/>
      <w:bookmarkStart w:id="50" w:name="_Toc134124739"/>
      <w:bookmarkStart w:id="51" w:name="_Toc134189451"/>
      <w:r>
        <w:t>附件</w:t>
      </w:r>
      <w:r>
        <w:rPr>
          <w:rFonts w:hint="eastAsia"/>
          <w:lang w:val="en-US" w:eastAsia="zh-CN"/>
        </w:rPr>
        <w:t>1</w:t>
      </w:r>
      <w:r>
        <w:br w:type="textWrapping"/>
      </w:r>
      <w:r>
        <w:t>2022年《关于精准支持怀柔科学城科学仪器和传感器产业创新发展的若干措施》专项资金绩效自评表</w:t>
      </w:r>
      <w:bookmarkEnd w:id="47"/>
      <w:bookmarkEnd w:id="48"/>
      <w:bookmarkEnd w:id="49"/>
      <w:bookmarkEnd w:id="50"/>
      <w:bookmarkEnd w:id="51"/>
    </w:p>
    <w:tbl>
      <w:tblPr>
        <w:tblStyle w:val="20"/>
        <w:tblW w:w="139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562"/>
        <w:gridCol w:w="426"/>
        <w:gridCol w:w="567"/>
        <w:gridCol w:w="425"/>
        <w:gridCol w:w="1134"/>
        <w:gridCol w:w="425"/>
        <w:gridCol w:w="3119"/>
        <w:gridCol w:w="4252"/>
        <w:gridCol w:w="2403"/>
        <w:gridCol w:w="6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cantSplit/>
          <w:tblHeader/>
        </w:trPr>
        <w:tc>
          <w:tcPr>
            <w:tcW w:w="562" w:type="dxa"/>
            <w:vAlign w:val="center"/>
          </w:tcPr>
          <w:p>
            <w:pPr>
              <w:widowControl/>
              <w:adjustRightInd w:val="0"/>
              <w:snapToGrid w:val="0"/>
              <w:spacing w:line="240" w:lineRule="atLeast"/>
              <w:ind w:firstLine="0" w:firstLineChars="0"/>
              <w:jc w:val="center"/>
              <w:rPr>
                <w:b/>
                <w:bCs/>
                <w:color w:val="000000"/>
                <w:kern w:val="0"/>
                <w:sz w:val="24"/>
              </w:rPr>
            </w:pPr>
            <w:r>
              <w:rPr>
                <w:b/>
                <w:bCs/>
                <w:color w:val="000000"/>
                <w:kern w:val="0"/>
                <w:sz w:val="24"/>
              </w:rPr>
              <w:t>一级指标</w:t>
            </w:r>
          </w:p>
        </w:tc>
        <w:tc>
          <w:tcPr>
            <w:tcW w:w="426" w:type="dxa"/>
            <w:vAlign w:val="center"/>
          </w:tcPr>
          <w:p>
            <w:pPr>
              <w:widowControl/>
              <w:adjustRightInd w:val="0"/>
              <w:snapToGrid w:val="0"/>
              <w:spacing w:line="240" w:lineRule="atLeast"/>
              <w:ind w:firstLine="0" w:firstLineChars="0"/>
              <w:jc w:val="center"/>
              <w:rPr>
                <w:b/>
                <w:bCs/>
                <w:color w:val="000000"/>
                <w:kern w:val="0"/>
                <w:sz w:val="24"/>
              </w:rPr>
            </w:pPr>
            <w:r>
              <w:rPr>
                <w:b/>
                <w:bCs/>
                <w:color w:val="000000"/>
                <w:kern w:val="0"/>
                <w:sz w:val="24"/>
              </w:rPr>
              <w:t>分值</w:t>
            </w:r>
          </w:p>
        </w:tc>
        <w:tc>
          <w:tcPr>
            <w:tcW w:w="567" w:type="dxa"/>
            <w:vAlign w:val="center"/>
          </w:tcPr>
          <w:p>
            <w:pPr>
              <w:widowControl/>
              <w:adjustRightInd w:val="0"/>
              <w:snapToGrid w:val="0"/>
              <w:spacing w:line="240" w:lineRule="atLeast"/>
              <w:ind w:firstLine="0" w:firstLineChars="0"/>
              <w:jc w:val="center"/>
              <w:rPr>
                <w:b/>
                <w:bCs/>
                <w:color w:val="000000"/>
                <w:kern w:val="0"/>
                <w:sz w:val="24"/>
              </w:rPr>
            </w:pPr>
            <w:r>
              <w:rPr>
                <w:b/>
                <w:bCs/>
                <w:color w:val="000000"/>
                <w:kern w:val="0"/>
                <w:sz w:val="24"/>
              </w:rPr>
              <w:t>二级指标</w:t>
            </w:r>
          </w:p>
        </w:tc>
        <w:tc>
          <w:tcPr>
            <w:tcW w:w="425" w:type="dxa"/>
            <w:vAlign w:val="center"/>
          </w:tcPr>
          <w:p>
            <w:pPr>
              <w:widowControl/>
              <w:adjustRightInd w:val="0"/>
              <w:snapToGrid w:val="0"/>
              <w:spacing w:line="240" w:lineRule="atLeast"/>
              <w:ind w:firstLine="0" w:firstLineChars="0"/>
              <w:jc w:val="center"/>
              <w:rPr>
                <w:b/>
                <w:bCs/>
                <w:color w:val="000000"/>
                <w:kern w:val="0"/>
                <w:sz w:val="24"/>
              </w:rPr>
            </w:pPr>
            <w:r>
              <w:rPr>
                <w:b/>
                <w:bCs/>
                <w:color w:val="000000"/>
                <w:kern w:val="0"/>
                <w:sz w:val="24"/>
              </w:rPr>
              <w:t>分值</w:t>
            </w:r>
          </w:p>
        </w:tc>
        <w:tc>
          <w:tcPr>
            <w:tcW w:w="1134" w:type="dxa"/>
            <w:vAlign w:val="center"/>
          </w:tcPr>
          <w:p>
            <w:pPr>
              <w:widowControl/>
              <w:adjustRightInd w:val="0"/>
              <w:snapToGrid w:val="0"/>
              <w:spacing w:line="240" w:lineRule="atLeast"/>
              <w:ind w:firstLine="0" w:firstLineChars="0"/>
              <w:jc w:val="center"/>
              <w:rPr>
                <w:b/>
                <w:bCs/>
                <w:color w:val="000000"/>
                <w:kern w:val="0"/>
                <w:sz w:val="24"/>
              </w:rPr>
            </w:pPr>
            <w:r>
              <w:rPr>
                <w:b/>
                <w:bCs/>
                <w:color w:val="000000"/>
                <w:kern w:val="0"/>
                <w:sz w:val="24"/>
              </w:rPr>
              <w:t>三级指标</w:t>
            </w:r>
          </w:p>
        </w:tc>
        <w:tc>
          <w:tcPr>
            <w:tcW w:w="425" w:type="dxa"/>
            <w:vAlign w:val="center"/>
          </w:tcPr>
          <w:p>
            <w:pPr>
              <w:widowControl/>
              <w:adjustRightInd w:val="0"/>
              <w:snapToGrid w:val="0"/>
              <w:spacing w:line="240" w:lineRule="atLeast"/>
              <w:ind w:firstLine="0" w:firstLineChars="0"/>
              <w:jc w:val="center"/>
              <w:rPr>
                <w:b/>
                <w:bCs/>
                <w:color w:val="000000"/>
                <w:kern w:val="0"/>
                <w:sz w:val="24"/>
              </w:rPr>
            </w:pPr>
            <w:r>
              <w:rPr>
                <w:b/>
                <w:bCs/>
                <w:color w:val="000000"/>
                <w:kern w:val="0"/>
                <w:sz w:val="24"/>
              </w:rPr>
              <w:t>分值</w:t>
            </w:r>
          </w:p>
        </w:tc>
        <w:tc>
          <w:tcPr>
            <w:tcW w:w="3119" w:type="dxa"/>
            <w:vAlign w:val="center"/>
          </w:tcPr>
          <w:p>
            <w:pPr>
              <w:widowControl/>
              <w:adjustRightInd w:val="0"/>
              <w:snapToGrid w:val="0"/>
              <w:spacing w:line="240" w:lineRule="atLeast"/>
              <w:ind w:firstLine="0" w:firstLineChars="0"/>
              <w:jc w:val="center"/>
              <w:rPr>
                <w:b/>
                <w:bCs/>
                <w:color w:val="000000"/>
                <w:kern w:val="0"/>
                <w:sz w:val="24"/>
              </w:rPr>
            </w:pPr>
            <w:r>
              <w:rPr>
                <w:b/>
                <w:bCs/>
                <w:color w:val="000000"/>
                <w:kern w:val="0"/>
                <w:sz w:val="24"/>
              </w:rPr>
              <w:t>指标解释</w:t>
            </w:r>
          </w:p>
        </w:tc>
        <w:tc>
          <w:tcPr>
            <w:tcW w:w="4252" w:type="dxa"/>
            <w:vAlign w:val="center"/>
          </w:tcPr>
          <w:p>
            <w:pPr>
              <w:widowControl/>
              <w:adjustRightInd w:val="0"/>
              <w:snapToGrid w:val="0"/>
              <w:spacing w:line="240" w:lineRule="atLeast"/>
              <w:ind w:firstLine="0" w:firstLineChars="0"/>
              <w:jc w:val="center"/>
              <w:rPr>
                <w:b/>
                <w:bCs/>
                <w:color w:val="000000"/>
                <w:kern w:val="0"/>
                <w:sz w:val="24"/>
              </w:rPr>
            </w:pPr>
            <w:r>
              <w:rPr>
                <w:b/>
                <w:bCs/>
                <w:color w:val="000000"/>
                <w:kern w:val="0"/>
                <w:sz w:val="24"/>
              </w:rPr>
              <w:t>指标说明</w:t>
            </w:r>
          </w:p>
        </w:tc>
        <w:tc>
          <w:tcPr>
            <w:tcW w:w="2403" w:type="dxa"/>
            <w:vAlign w:val="center"/>
          </w:tcPr>
          <w:p>
            <w:pPr>
              <w:widowControl/>
              <w:adjustRightInd w:val="0"/>
              <w:snapToGrid w:val="0"/>
              <w:spacing w:line="240" w:lineRule="atLeast"/>
              <w:ind w:firstLine="0" w:firstLineChars="0"/>
              <w:jc w:val="center"/>
              <w:rPr>
                <w:b/>
                <w:bCs/>
                <w:color w:val="000000"/>
                <w:kern w:val="0"/>
                <w:sz w:val="24"/>
              </w:rPr>
            </w:pPr>
            <w:r>
              <w:rPr>
                <w:b/>
                <w:bCs/>
                <w:color w:val="000000"/>
                <w:kern w:val="0"/>
                <w:sz w:val="24"/>
              </w:rPr>
              <w:t>评价标准及评分规则</w:t>
            </w:r>
          </w:p>
        </w:tc>
        <w:tc>
          <w:tcPr>
            <w:tcW w:w="635" w:type="dxa"/>
            <w:vAlign w:val="center"/>
          </w:tcPr>
          <w:p>
            <w:pPr>
              <w:widowControl/>
              <w:adjustRightInd w:val="0"/>
              <w:snapToGrid w:val="0"/>
              <w:spacing w:line="240" w:lineRule="atLeast"/>
              <w:ind w:firstLine="0" w:firstLineChars="0"/>
              <w:jc w:val="center"/>
              <w:rPr>
                <w:b/>
                <w:bCs/>
                <w:color w:val="000000"/>
                <w:kern w:val="0"/>
                <w:sz w:val="24"/>
              </w:rPr>
            </w:pPr>
            <w:r>
              <w:rPr>
                <w:b/>
                <w:bCs/>
                <w:color w:val="000000"/>
                <w:kern w:val="0"/>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cantSplit/>
        </w:trPr>
        <w:tc>
          <w:tcPr>
            <w:tcW w:w="562" w:type="dxa"/>
            <w:vMerge w:val="restart"/>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决策</w:t>
            </w:r>
          </w:p>
        </w:tc>
        <w:tc>
          <w:tcPr>
            <w:tcW w:w="426" w:type="dxa"/>
            <w:vMerge w:val="restart"/>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10</w:t>
            </w:r>
          </w:p>
        </w:tc>
        <w:tc>
          <w:tcPr>
            <w:tcW w:w="567" w:type="dxa"/>
            <w:vMerge w:val="restart"/>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项目立项</w:t>
            </w:r>
          </w:p>
        </w:tc>
        <w:tc>
          <w:tcPr>
            <w:tcW w:w="425" w:type="dxa"/>
            <w:vMerge w:val="restart"/>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4</w:t>
            </w:r>
          </w:p>
        </w:tc>
        <w:tc>
          <w:tcPr>
            <w:tcW w:w="1134"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立项依据充分性</w:t>
            </w:r>
          </w:p>
        </w:tc>
        <w:tc>
          <w:tcPr>
            <w:tcW w:w="425"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2</w:t>
            </w:r>
          </w:p>
        </w:tc>
        <w:tc>
          <w:tcPr>
            <w:tcW w:w="3119" w:type="dxa"/>
            <w:vAlign w:val="center"/>
          </w:tcPr>
          <w:p>
            <w:pPr>
              <w:widowControl/>
              <w:adjustRightInd w:val="0"/>
              <w:snapToGrid w:val="0"/>
              <w:spacing w:line="240" w:lineRule="atLeast"/>
              <w:ind w:firstLine="0" w:firstLineChars="0"/>
              <w:jc w:val="left"/>
              <w:rPr>
                <w:color w:val="000000"/>
                <w:kern w:val="0"/>
                <w:sz w:val="24"/>
              </w:rPr>
            </w:pPr>
            <w:r>
              <w:rPr>
                <w:color w:val="000000"/>
                <w:kern w:val="0"/>
                <w:sz w:val="24"/>
              </w:rPr>
              <w:t>项目立项是否符合法律法规、相关政策、发展规划以及部门职责，用以反映和考核项目立项依据情况。</w:t>
            </w:r>
          </w:p>
        </w:tc>
        <w:tc>
          <w:tcPr>
            <w:tcW w:w="4252" w:type="dxa"/>
            <w:vAlign w:val="center"/>
          </w:tcPr>
          <w:p>
            <w:pPr>
              <w:widowControl/>
              <w:adjustRightInd w:val="0"/>
              <w:snapToGrid w:val="0"/>
              <w:spacing w:line="240" w:lineRule="atLeast"/>
              <w:ind w:firstLine="0" w:firstLineChars="0"/>
              <w:jc w:val="left"/>
              <w:rPr>
                <w:color w:val="000000"/>
                <w:kern w:val="0"/>
                <w:sz w:val="24"/>
              </w:rPr>
            </w:pPr>
            <w:r>
              <w:rPr>
                <w:color w:val="000000"/>
                <w:kern w:val="0"/>
                <w:sz w:val="24"/>
              </w:rPr>
              <w:t>评价要点：</w:t>
            </w:r>
            <w:r>
              <w:rPr>
                <w:rFonts w:hint="eastAsia" w:ascii="宋体" w:hAnsi="宋体" w:eastAsia="宋体" w:cs="宋体"/>
                <w:color w:val="000000"/>
                <w:kern w:val="0"/>
                <w:sz w:val="24"/>
              </w:rPr>
              <w:t>①</w:t>
            </w:r>
            <w:r>
              <w:rPr>
                <w:color w:val="000000"/>
                <w:kern w:val="0"/>
                <w:sz w:val="24"/>
              </w:rPr>
              <w:t>项目立项是否符合国家法律法规、国民经济发展规划和相关政策；</w:t>
            </w:r>
            <w:r>
              <w:rPr>
                <w:rFonts w:hint="eastAsia" w:ascii="宋体" w:hAnsi="宋体" w:eastAsia="宋体" w:cs="宋体"/>
                <w:color w:val="000000"/>
                <w:kern w:val="0"/>
                <w:sz w:val="24"/>
              </w:rPr>
              <w:t>②</w:t>
            </w:r>
            <w:r>
              <w:rPr>
                <w:color w:val="000000"/>
                <w:kern w:val="0"/>
                <w:sz w:val="24"/>
              </w:rPr>
              <w:t>项目立项是否符合行业发展规划和政策要求；</w:t>
            </w:r>
            <w:r>
              <w:rPr>
                <w:rFonts w:hint="eastAsia" w:ascii="宋体" w:hAnsi="宋体" w:eastAsia="宋体" w:cs="宋体"/>
                <w:color w:val="000000"/>
                <w:kern w:val="0"/>
                <w:sz w:val="24"/>
              </w:rPr>
              <w:t>③</w:t>
            </w:r>
            <w:r>
              <w:rPr>
                <w:color w:val="000000"/>
                <w:kern w:val="0"/>
                <w:sz w:val="24"/>
              </w:rPr>
              <w:t>项目立项是否与部门职责范围相符，属于部门履职所需；</w:t>
            </w:r>
            <w:r>
              <w:rPr>
                <w:rFonts w:hint="eastAsia" w:ascii="宋体" w:hAnsi="宋体" w:eastAsia="宋体" w:cs="宋体"/>
                <w:color w:val="000000"/>
                <w:kern w:val="0"/>
                <w:sz w:val="24"/>
              </w:rPr>
              <w:t>④</w:t>
            </w:r>
            <w:r>
              <w:rPr>
                <w:color w:val="000000"/>
                <w:kern w:val="0"/>
                <w:sz w:val="24"/>
              </w:rPr>
              <w:t>项目是否属于公共财政支持范围；</w:t>
            </w:r>
            <w:r>
              <w:rPr>
                <w:rFonts w:hint="eastAsia" w:ascii="宋体" w:hAnsi="宋体" w:eastAsia="宋体" w:cs="宋体"/>
                <w:color w:val="000000"/>
                <w:kern w:val="0"/>
                <w:sz w:val="24"/>
              </w:rPr>
              <w:t>⑤</w:t>
            </w:r>
            <w:r>
              <w:rPr>
                <w:color w:val="000000"/>
                <w:kern w:val="0"/>
                <w:sz w:val="24"/>
              </w:rPr>
              <w:t>项目是否与相关部门同类项目或部门内部相关项目重复。</w:t>
            </w:r>
          </w:p>
        </w:tc>
        <w:tc>
          <w:tcPr>
            <w:tcW w:w="2403" w:type="dxa"/>
            <w:vAlign w:val="center"/>
          </w:tcPr>
          <w:p>
            <w:pPr>
              <w:widowControl/>
              <w:adjustRightInd w:val="0"/>
              <w:snapToGrid w:val="0"/>
              <w:spacing w:line="240" w:lineRule="atLeast"/>
              <w:ind w:firstLine="0" w:firstLineChars="0"/>
              <w:jc w:val="left"/>
              <w:rPr>
                <w:color w:val="000000"/>
                <w:kern w:val="0"/>
                <w:sz w:val="24"/>
              </w:rPr>
            </w:pPr>
            <w:r>
              <w:rPr>
                <w:color w:val="000000"/>
                <w:kern w:val="0"/>
                <w:sz w:val="24"/>
              </w:rPr>
              <w:t>立项依据充分，得1.6（含）-2分；</w:t>
            </w:r>
            <w:r>
              <w:rPr>
                <w:color w:val="000000"/>
                <w:kern w:val="0"/>
                <w:sz w:val="24"/>
              </w:rPr>
              <w:br w:type="textWrapping"/>
            </w:r>
            <w:r>
              <w:rPr>
                <w:color w:val="000000"/>
                <w:kern w:val="0"/>
                <w:sz w:val="24"/>
              </w:rPr>
              <w:t>立项依据较充分，得1.2（含）-1.6分；</w:t>
            </w:r>
            <w:r>
              <w:rPr>
                <w:color w:val="000000"/>
                <w:kern w:val="0"/>
                <w:sz w:val="24"/>
              </w:rPr>
              <w:br w:type="textWrapping"/>
            </w:r>
            <w:r>
              <w:rPr>
                <w:color w:val="000000"/>
                <w:kern w:val="0"/>
                <w:sz w:val="24"/>
              </w:rPr>
              <w:t>立项依据充分性较差，得0-1.2分。</w:t>
            </w:r>
          </w:p>
        </w:tc>
        <w:tc>
          <w:tcPr>
            <w:tcW w:w="635"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1.82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cantSplit/>
        </w:trPr>
        <w:tc>
          <w:tcPr>
            <w:tcW w:w="562"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426"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567"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425"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1134"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立项程序规范性</w:t>
            </w:r>
          </w:p>
        </w:tc>
        <w:tc>
          <w:tcPr>
            <w:tcW w:w="425"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2</w:t>
            </w:r>
          </w:p>
        </w:tc>
        <w:tc>
          <w:tcPr>
            <w:tcW w:w="3119" w:type="dxa"/>
            <w:vAlign w:val="center"/>
          </w:tcPr>
          <w:p>
            <w:pPr>
              <w:widowControl/>
              <w:adjustRightInd w:val="0"/>
              <w:snapToGrid w:val="0"/>
              <w:spacing w:line="240" w:lineRule="atLeast"/>
              <w:ind w:firstLine="0" w:firstLineChars="0"/>
              <w:jc w:val="left"/>
              <w:rPr>
                <w:color w:val="000000"/>
                <w:kern w:val="0"/>
                <w:sz w:val="24"/>
              </w:rPr>
            </w:pPr>
            <w:r>
              <w:rPr>
                <w:color w:val="000000"/>
                <w:kern w:val="0"/>
                <w:sz w:val="24"/>
              </w:rPr>
              <w:t>项目申请、设立过程是否符合相关要求，用以反映和考核项目立项的规范情况。</w:t>
            </w:r>
          </w:p>
        </w:tc>
        <w:tc>
          <w:tcPr>
            <w:tcW w:w="4252" w:type="dxa"/>
            <w:vAlign w:val="center"/>
          </w:tcPr>
          <w:p>
            <w:pPr>
              <w:widowControl/>
              <w:adjustRightInd w:val="0"/>
              <w:snapToGrid w:val="0"/>
              <w:spacing w:line="240" w:lineRule="atLeast"/>
              <w:ind w:firstLine="0" w:firstLineChars="0"/>
              <w:jc w:val="left"/>
              <w:rPr>
                <w:color w:val="000000"/>
                <w:kern w:val="0"/>
                <w:sz w:val="24"/>
              </w:rPr>
            </w:pPr>
            <w:r>
              <w:rPr>
                <w:color w:val="000000"/>
                <w:kern w:val="0"/>
                <w:sz w:val="24"/>
              </w:rPr>
              <w:t>评价要点：</w:t>
            </w:r>
            <w:r>
              <w:rPr>
                <w:rFonts w:hint="eastAsia" w:ascii="宋体" w:hAnsi="宋体" w:eastAsia="宋体" w:cs="宋体"/>
                <w:color w:val="000000"/>
                <w:kern w:val="0"/>
                <w:sz w:val="24"/>
              </w:rPr>
              <w:t>①</w:t>
            </w:r>
            <w:r>
              <w:rPr>
                <w:color w:val="000000"/>
                <w:kern w:val="0"/>
                <w:sz w:val="24"/>
              </w:rPr>
              <w:t>项目是否按照规定的程序申请设立；</w:t>
            </w:r>
            <w:r>
              <w:rPr>
                <w:rFonts w:hint="eastAsia" w:ascii="宋体" w:hAnsi="宋体" w:eastAsia="宋体" w:cs="宋体"/>
                <w:color w:val="000000"/>
                <w:kern w:val="0"/>
                <w:sz w:val="24"/>
              </w:rPr>
              <w:t>②</w:t>
            </w:r>
            <w:r>
              <w:rPr>
                <w:color w:val="000000"/>
                <w:kern w:val="0"/>
                <w:sz w:val="24"/>
              </w:rPr>
              <w:t>审批文件、材料是否符合相关要求；</w:t>
            </w:r>
            <w:r>
              <w:rPr>
                <w:rFonts w:hint="eastAsia" w:ascii="宋体" w:hAnsi="宋体" w:eastAsia="宋体" w:cs="宋体"/>
                <w:color w:val="000000"/>
                <w:kern w:val="0"/>
                <w:sz w:val="24"/>
              </w:rPr>
              <w:t>③</w:t>
            </w:r>
            <w:r>
              <w:rPr>
                <w:color w:val="000000"/>
                <w:kern w:val="0"/>
                <w:sz w:val="24"/>
              </w:rPr>
              <w:t>事前是否已经过必要的可行性研究、专家论证、风险评估、绩效评估、集体决策。</w:t>
            </w:r>
          </w:p>
        </w:tc>
        <w:tc>
          <w:tcPr>
            <w:tcW w:w="2403" w:type="dxa"/>
            <w:vAlign w:val="center"/>
          </w:tcPr>
          <w:p>
            <w:pPr>
              <w:widowControl/>
              <w:adjustRightInd w:val="0"/>
              <w:snapToGrid w:val="0"/>
              <w:spacing w:line="240" w:lineRule="atLeast"/>
              <w:ind w:firstLine="0" w:firstLineChars="0"/>
              <w:jc w:val="left"/>
              <w:rPr>
                <w:color w:val="000000"/>
                <w:kern w:val="0"/>
                <w:sz w:val="24"/>
              </w:rPr>
            </w:pPr>
            <w:r>
              <w:rPr>
                <w:color w:val="000000"/>
                <w:kern w:val="0"/>
                <w:sz w:val="24"/>
              </w:rPr>
              <w:t>立项程序规范，得1.6（含）-2分；</w:t>
            </w:r>
            <w:r>
              <w:rPr>
                <w:color w:val="000000"/>
                <w:kern w:val="0"/>
                <w:sz w:val="24"/>
              </w:rPr>
              <w:br w:type="textWrapping"/>
            </w:r>
            <w:r>
              <w:rPr>
                <w:color w:val="000000"/>
                <w:kern w:val="0"/>
                <w:sz w:val="24"/>
              </w:rPr>
              <w:t>立项程序较规范，得1.2（含）-1.6分；</w:t>
            </w:r>
            <w:r>
              <w:rPr>
                <w:color w:val="000000"/>
                <w:kern w:val="0"/>
                <w:sz w:val="24"/>
              </w:rPr>
              <w:br w:type="textWrapping"/>
            </w:r>
            <w:r>
              <w:rPr>
                <w:color w:val="000000"/>
                <w:kern w:val="0"/>
                <w:sz w:val="24"/>
              </w:rPr>
              <w:t>立项程序规范性较差，得0-1.2分。</w:t>
            </w:r>
          </w:p>
        </w:tc>
        <w:tc>
          <w:tcPr>
            <w:tcW w:w="635"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1.88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cantSplit/>
        </w:trPr>
        <w:tc>
          <w:tcPr>
            <w:tcW w:w="562"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426"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567" w:type="dxa"/>
            <w:vMerge w:val="restart"/>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绩效目标</w:t>
            </w:r>
          </w:p>
        </w:tc>
        <w:tc>
          <w:tcPr>
            <w:tcW w:w="425" w:type="dxa"/>
            <w:vMerge w:val="restart"/>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3</w:t>
            </w:r>
          </w:p>
        </w:tc>
        <w:tc>
          <w:tcPr>
            <w:tcW w:w="1134"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绩效目标合理性</w:t>
            </w:r>
          </w:p>
        </w:tc>
        <w:tc>
          <w:tcPr>
            <w:tcW w:w="425"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2</w:t>
            </w:r>
          </w:p>
        </w:tc>
        <w:tc>
          <w:tcPr>
            <w:tcW w:w="3119" w:type="dxa"/>
            <w:vAlign w:val="center"/>
          </w:tcPr>
          <w:p>
            <w:pPr>
              <w:widowControl/>
              <w:adjustRightInd w:val="0"/>
              <w:snapToGrid w:val="0"/>
              <w:spacing w:line="240" w:lineRule="atLeast"/>
              <w:ind w:firstLine="0" w:firstLineChars="0"/>
              <w:jc w:val="left"/>
              <w:rPr>
                <w:color w:val="000000"/>
                <w:kern w:val="0"/>
                <w:sz w:val="24"/>
              </w:rPr>
            </w:pPr>
            <w:r>
              <w:rPr>
                <w:color w:val="000000"/>
                <w:kern w:val="0"/>
                <w:sz w:val="24"/>
              </w:rPr>
              <w:t>项目所设定的绩效目标是否依据充分，是否符合客观实际，用以反映和考核项目绩效目标与项目实施的相符情况。</w:t>
            </w:r>
          </w:p>
        </w:tc>
        <w:tc>
          <w:tcPr>
            <w:tcW w:w="4252" w:type="dxa"/>
            <w:vAlign w:val="center"/>
          </w:tcPr>
          <w:p>
            <w:pPr>
              <w:widowControl/>
              <w:adjustRightInd w:val="0"/>
              <w:snapToGrid w:val="0"/>
              <w:spacing w:line="240" w:lineRule="atLeast"/>
              <w:ind w:firstLine="0" w:firstLineChars="0"/>
              <w:jc w:val="left"/>
              <w:rPr>
                <w:color w:val="000000"/>
                <w:kern w:val="0"/>
                <w:sz w:val="24"/>
              </w:rPr>
            </w:pPr>
            <w:r>
              <w:rPr>
                <w:color w:val="000000"/>
                <w:kern w:val="0"/>
                <w:sz w:val="24"/>
              </w:rPr>
              <w:t>评价要点：（如未设定预算绩效目标，也可考核其他工作任务目标）</w:t>
            </w:r>
            <w:r>
              <w:rPr>
                <w:rFonts w:hint="eastAsia" w:ascii="宋体" w:hAnsi="宋体" w:eastAsia="宋体" w:cs="宋体"/>
                <w:color w:val="000000"/>
                <w:kern w:val="0"/>
                <w:sz w:val="24"/>
              </w:rPr>
              <w:t>①</w:t>
            </w:r>
            <w:r>
              <w:rPr>
                <w:color w:val="000000"/>
                <w:kern w:val="0"/>
                <w:sz w:val="24"/>
              </w:rPr>
              <w:t>项目是否有绩效目标；</w:t>
            </w:r>
            <w:r>
              <w:rPr>
                <w:rFonts w:hint="eastAsia" w:ascii="宋体" w:hAnsi="宋体" w:eastAsia="宋体" w:cs="宋体"/>
                <w:color w:val="000000"/>
                <w:kern w:val="0"/>
                <w:sz w:val="24"/>
              </w:rPr>
              <w:t>②</w:t>
            </w:r>
            <w:r>
              <w:rPr>
                <w:color w:val="000000"/>
                <w:kern w:val="0"/>
                <w:sz w:val="24"/>
              </w:rPr>
              <w:t>项目绩效目标与实际工作内容是否具有相关性；</w:t>
            </w:r>
            <w:r>
              <w:rPr>
                <w:rFonts w:hint="eastAsia" w:ascii="宋体" w:hAnsi="宋体" w:eastAsia="宋体" w:cs="宋体"/>
                <w:color w:val="000000"/>
                <w:kern w:val="0"/>
                <w:sz w:val="24"/>
              </w:rPr>
              <w:t>③</w:t>
            </w:r>
            <w:r>
              <w:rPr>
                <w:color w:val="000000"/>
                <w:kern w:val="0"/>
                <w:sz w:val="24"/>
              </w:rPr>
              <w:t>项目预期产出效益和效果是否符合正常的业绩水平；</w:t>
            </w:r>
            <w:r>
              <w:rPr>
                <w:rFonts w:hint="eastAsia" w:ascii="宋体" w:hAnsi="宋体" w:eastAsia="宋体" w:cs="宋体"/>
                <w:color w:val="000000"/>
                <w:kern w:val="0"/>
                <w:sz w:val="24"/>
              </w:rPr>
              <w:t>④</w:t>
            </w:r>
            <w:r>
              <w:rPr>
                <w:color w:val="000000"/>
                <w:kern w:val="0"/>
                <w:sz w:val="24"/>
              </w:rPr>
              <w:t>是否与预算确定的项目投资额或资金量相匹配。</w:t>
            </w:r>
          </w:p>
        </w:tc>
        <w:tc>
          <w:tcPr>
            <w:tcW w:w="2403" w:type="dxa"/>
            <w:vAlign w:val="center"/>
          </w:tcPr>
          <w:p>
            <w:pPr>
              <w:widowControl/>
              <w:adjustRightInd w:val="0"/>
              <w:snapToGrid w:val="0"/>
              <w:spacing w:line="240" w:lineRule="atLeast"/>
              <w:ind w:firstLine="0" w:firstLineChars="0"/>
              <w:jc w:val="left"/>
              <w:rPr>
                <w:color w:val="000000"/>
                <w:kern w:val="0"/>
                <w:sz w:val="24"/>
              </w:rPr>
            </w:pPr>
            <w:r>
              <w:rPr>
                <w:color w:val="000000"/>
                <w:kern w:val="0"/>
                <w:sz w:val="24"/>
              </w:rPr>
              <w:t>绩效目标合理，得1.6（含）-2分；</w:t>
            </w:r>
            <w:r>
              <w:rPr>
                <w:color w:val="000000"/>
                <w:kern w:val="0"/>
                <w:sz w:val="24"/>
              </w:rPr>
              <w:br w:type="textWrapping"/>
            </w:r>
            <w:r>
              <w:rPr>
                <w:color w:val="000000"/>
                <w:kern w:val="0"/>
                <w:sz w:val="24"/>
              </w:rPr>
              <w:t>绩效目标较合理，得1.2（含）-1.6分；</w:t>
            </w:r>
            <w:r>
              <w:rPr>
                <w:color w:val="000000"/>
                <w:kern w:val="0"/>
                <w:sz w:val="24"/>
              </w:rPr>
              <w:br w:type="textWrapping"/>
            </w:r>
            <w:r>
              <w:rPr>
                <w:color w:val="000000"/>
                <w:kern w:val="0"/>
                <w:sz w:val="24"/>
              </w:rPr>
              <w:t>绩效目标合理性较差，得0-1.2分。</w:t>
            </w:r>
          </w:p>
        </w:tc>
        <w:tc>
          <w:tcPr>
            <w:tcW w:w="635"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1.52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cantSplit/>
        </w:trPr>
        <w:tc>
          <w:tcPr>
            <w:tcW w:w="562"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426"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567"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425"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1134"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绩效指标明确性</w:t>
            </w:r>
          </w:p>
        </w:tc>
        <w:tc>
          <w:tcPr>
            <w:tcW w:w="425"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1</w:t>
            </w:r>
          </w:p>
        </w:tc>
        <w:tc>
          <w:tcPr>
            <w:tcW w:w="3119" w:type="dxa"/>
            <w:vAlign w:val="center"/>
          </w:tcPr>
          <w:p>
            <w:pPr>
              <w:widowControl/>
              <w:adjustRightInd w:val="0"/>
              <w:snapToGrid w:val="0"/>
              <w:spacing w:line="240" w:lineRule="atLeast"/>
              <w:ind w:firstLine="0" w:firstLineChars="0"/>
              <w:jc w:val="left"/>
              <w:rPr>
                <w:color w:val="000000"/>
                <w:kern w:val="0"/>
                <w:sz w:val="24"/>
              </w:rPr>
            </w:pPr>
            <w:r>
              <w:rPr>
                <w:color w:val="000000"/>
                <w:kern w:val="0"/>
                <w:sz w:val="24"/>
              </w:rPr>
              <w:t>依据绩效目标设定的绩效指标是否清晰、细化、可衡量等，用以反映和考核项目绩效目标的明细化情况。</w:t>
            </w:r>
          </w:p>
        </w:tc>
        <w:tc>
          <w:tcPr>
            <w:tcW w:w="4252" w:type="dxa"/>
            <w:vAlign w:val="center"/>
          </w:tcPr>
          <w:p>
            <w:pPr>
              <w:widowControl/>
              <w:adjustRightInd w:val="0"/>
              <w:snapToGrid w:val="0"/>
              <w:spacing w:line="240" w:lineRule="atLeast"/>
              <w:ind w:firstLine="0" w:firstLineChars="0"/>
              <w:jc w:val="left"/>
              <w:rPr>
                <w:color w:val="000000"/>
                <w:kern w:val="0"/>
                <w:sz w:val="24"/>
              </w:rPr>
            </w:pPr>
            <w:r>
              <w:rPr>
                <w:color w:val="000000"/>
                <w:kern w:val="0"/>
                <w:sz w:val="24"/>
              </w:rPr>
              <w:t>评价要点：</w:t>
            </w:r>
            <w:r>
              <w:rPr>
                <w:rFonts w:hint="eastAsia" w:ascii="宋体" w:hAnsi="宋体" w:eastAsia="宋体" w:cs="宋体"/>
                <w:color w:val="000000"/>
                <w:kern w:val="0"/>
                <w:sz w:val="24"/>
              </w:rPr>
              <w:t>①</w:t>
            </w:r>
            <w:r>
              <w:rPr>
                <w:color w:val="000000"/>
                <w:kern w:val="0"/>
                <w:sz w:val="24"/>
              </w:rPr>
              <w:t>是否将项目绩效目标细化分解为具体的绩效指标；</w:t>
            </w:r>
            <w:r>
              <w:rPr>
                <w:rFonts w:hint="eastAsia" w:ascii="宋体" w:hAnsi="宋体" w:eastAsia="宋体" w:cs="宋体"/>
                <w:color w:val="000000"/>
                <w:kern w:val="0"/>
                <w:sz w:val="24"/>
              </w:rPr>
              <w:t>②</w:t>
            </w:r>
            <w:r>
              <w:rPr>
                <w:color w:val="000000"/>
                <w:kern w:val="0"/>
                <w:sz w:val="24"/>
              </w:rPr>
              <w:t>是否通过清晰、可衡量的指标值予以体现；</w:t>
            </w:r>
            <w:r>
              <w:rPr>
                <w:rFonts w:hint="eastAsia" w:ascii="宋体" w:hAnsi="宋体" w:eastAsia="宋体" w:cs="宋体"/>
                <w:color w:val="000000"/>
                <w:kern w:val="0"/>
                <w:sz w:val="24"/>
              </w:rPr>
              <w:t>③</w:t>
            </w:r>
            <w:r>
              <w:rPr>
                <w:color w:val="000000"/>
                <w:kern w:val="0"/>
                <w:sz w:val="24"/>
              </w:rPr>
              <w:t>是否与项目目标任务数或计划数相对应。</w:t>
            </w:r>
          </w:p>
        </w:tc>
        <w:tc>
          <w:tcPr>
            <w:tcW w:w="2403" w:type="dxa"/>
            <w:vAlign w:val="center"/>
          </w:tcPr>
          <w:p>
            <w:pPr>
              <w:widowControl/>
              <w:adjustRightInd w:val="0"/>
              <w:snapToGrid w:val="0"/>
              <w:spacing w:line="240" w:lineRule="atLeast"/>
              <w:ind w:firstLine="0" w:firstLineChars="0"/>
              <w:jc w:val="left"/>
              <w:rPr>
                <w:color w:val="000000"/>
                <w:kern w:val="0"/>
                <w:sz w:val="24"/>
              </w:rPr>
            </w:pPr>
            <w:r>
              <w:rPr>
                <w:color w:val="000000"/>
                <w:kern w:val="0"/>
                <w:sz w:val="24"/>
              </w:rPr>
              <w:t>绩效指标明确，细化、量化程度高，得0.8（含）-1分；</w:t>
            </w:r>
            <w:r>
              <w:rPr>
                <w:color w:val="000000"/>
                <w:kern w:val="0"/>
                <w:sz w:val="24"/>
              </w:rPr>
              <w:br w:type="textWrapping"/>
            </w:r>
            <w:r>
              <w:rPr>
                <w:color w:val="000000"/>
                <w:kern w:val="0"/>
                <w:sz w:val="24"/>
              </w:rPr>
              <w:t>绩效指标较明确，细化、量化程度较高，得0.6（含）-0.8分；</w:t>
            </w:r>
            <w:r>
              <w:rPr>
                <w:color w:val="000000"/>
                <w:kern w:val="0"/>
                <w:sz w:val="24"/>
              </w:rPr>
              <w:br w:type="textWrapping"/>
            </w:r>
            <w:r>
              <w:rPr>
                <w:color w:val="000000"/>
                <w:kern w:val="0"/>
                <w:sz w:val="24"/>
              </w:rPr>
              <w:t>绩效指标不明确，细化、量化程度较差，得0-0.6分。</w:t>
            </w:r>
          </w:p>
        </w:tc>
        <w:tc>
          <w:tcPr>
            <w:tcW w:w="635"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cantSplit/>
        </w:trPr>
        <w:tc>
          <w:tcPr>
            <w:tcW w:w="562"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426"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567" w:type="dxa"/>
            <w:vMerge w:val="restart"/>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资金投入</w:t>
            </w:r>
          </w:p>
        </w:tc>
        <w:tc>
          <w:tcPr>
            <w:tcW w:w="425" w:type="dxa"/>
            <w:vMerge w:val="restart"/>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3</w:t>
            </w:r>
          </w:p>
        </w:tc>
        <w:tc>
          <w:tcPr>
            <w:tcW w:w="1134"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预算编制科学性</w:t>
            </w:r>
          </w:p>
        </w:tc>
        <w:tc>
          <w:tcPr>
            <w:tcW w:w="425"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2</w:t>
            </w:r>
          </w:p>
        </w:tc>
        <w:tc>
          <w:tcPr>
            <w:tcW w:w="3119" w:type="dxa"/>
            <w:vAlign w:val="center"/>
          </w:tcPr>
          <w:p>
            <w:pPr>
              <w:widowControl/>
              <w:adjustRightInd w:val="0"/>
              <w:snapToGrid w:val="0"/>
              <w:spacing w:line="240" w:lineRule="atLeast"/>
              <w:ind w:firstLine="0" w:firstLineChars="0"/>
              <w:jc w:val="left"/>
              <w:rPr>
                <w:color w:val="000000"/>
                <w:kern w:val="0"/>
                <w:sz w:val="24"/>
              </w:rPr>
            </w:pPr>
            <w:r>
              <w:rPr>
                <w:color w:val="000000"/>
                <w:kern w:val="0"/>
                <w:sz w:val="24"/>
              </w:rPr>
              <w:t>项目预算编制是否经过科学论证、有明确标准，资金额度与年度目标是否相适应，用以反映和考核项目预算编制的科学性、合理性情况。</w:t>
            </w:r>
          </w:p>
        </w:tc>
        <w:tc>
          <w:tcPr>
            <w:tcW w:w="4252" w:type="dxa"/>
            <w:vAlign w:val="center"/>
          </w:tcPr>
          <w:p>
            <w:pPr>
              <w:widowControl/>
              <w:adjustRightInd w:val="0"/>
              <w:snapToGrid w:val="0"/>
              <w:spacing w:line="240" w:lineRule="atLeast"/>
              <w:ind w:firstLine="0" w:firstLineChars="0"/>
              <w:jc w:val="left"/>
              <w:rPr>
                <w:color w:val="000000"/>
                <w:kern w:val="0"/>
                <w:sz w:val="24"/>
              </w:rPr>
            </w:pPr>
            <w:r>
              <w:rPr>
                <w:color w:val="000000"/>
                <w:kern w:val="0"/>
                <w:sz w:val="24"/>
              </w:rPr>
              <w:t>评价要点：</w:t>
            </w:r>
            <w:r>
              <w:rPr>
                <w:rFonts w:hint="eastAsia" w:ascii="宋体" w:hAnsi="宋体" w:eastAsia="宋体" w:cs="宋体"/>
                <w:color w:val="000000"/>
                <w:kern w:val="0"/>
                <w:sz w:val="24"/>
              </w:rPr>
              <w:t>①</w:t>
            </w:r>
            <w:r>
              <w:rPr>
                <w:color w:val="000000"/>
                <w:kern w:val="0"/>
                <w:sz w:val="24"/>
              </w:rPr>
              <w:t>预算编制是否经过科学论证；</w:t>
            </w:r>
            <w:r>
              <w:rPr>
                <w:rFonts w:hint="eastAsia" w:ascii="宋体" w:hAnsi="宋体" w:eastAsia="宋体" w:cs="宋体"/>
                <w:color w:val="000000"/>
                <w:kern w:val="0"/>
                <w:sz w:val="24"/>
              </w:rPr>
              <w:t>②</w:t>
            </w:r>
            <w:r>
              <w:rPr>
                <w:color w:val="000000"/>
                <w:kern w:val="0"/>
                <w:sz w:val="24"/>
              </w:rPr>
              <w:t>预算内容与项目内容是否匹配；</w:t>
            </w:r>
            <w:r>
              <w:rPr>
                <w:rFonts w:hint="eastAsia" w:ascii="宋体" w:hAnsi="宋体" w:eastAsia="宋体" w:cs="宋体"/>
                <w:color w:val="000000"/>
                <w:kern w:val="0"/>
                <w:sz w:val="24"/>
              </w:rPr>
              <w:t>③</w:t>
            </w:r>
            <w:r>
              <w:rPr>
                <w:color w:val="000000"/>
                <w:kern w:val="0"/>
                <w:sz w:val="24"/>
              </w:rPr>
              <w:t>预算额度测算依据是否充分，是否按照标准编制；</w:t>
            </w:r>
            <w:r>
              <w:rPr>
                <w:rFonts w:hint="eastAsia" w:ascii="宋体" w:hAnsi="宋体" w:eastAsia="宋体" w:cs="宋体"/>
                <w:color w:val="000000"/>
                <w:kern w:val="0"/>
                <w:sz w:val="24"/>
              </w:rPr>
              <w:t>④</w:t>
            </w:r>
            <w:r>
              <w:rPr>
                <w:color w:val="000000"/>
                <w:kern w:val="0"/>
                <w:sz w:val="24"/>
              </w:rPr>
              <w:t>预算确定的项目投资额或资金量是否与工作任务相匹配。</w:t>
            </w:r>
          </w:p>
        </w:tc>
        <w:tc>
          <w:tcPr>
            <w:tcW w:w="2403" w:type="dxa"/>
            <w:vAlign w:val="center"/>
          </w:tcPr>
          <w:p>
            <w:pPr>
              <w:widowControl/>
              <w:adjustRightInd w:val="0"/>
              <w:snapToGrid w:val="0"/>
              <w:spacing w:line="240" w:lineRule="atLeast"/>
              <w:ind w:firstLine="0" w:firstLineChars="0"/>
              <w:jc w:val="left"/>
              <w:rPr>
                <w:color w:val="000000"/>
                <w:kern w:val="0"/>
                <w:sz w:val="24"/>
              </w:rPr>
            </w:pPr>
            <w:r>
              <w:rPr>
                <w:color w:val="000000"/>
                <w:kern w:val="0"/>
                <w:sz w:val="24"/>
              </w:rPr>
              <w:t>预算编制科学，得1.6（含）-2分；</w:t>
            </w:r>
            <w:r>
              <w:rPr>
                <w:color w:val="000000"/>
                <w:kern w:val="0"/>
                <w:sz w:val="24"/>
              </w:rPr>
              <w:br w:type="textWrapping"/>
            </w:r>
            <w:r>
              <w:rPr>
                <w:color w:val="000000"/>
                <w:kern w:val="0"/>
                <w:sz w:val="24"/>
              </w:rPr>
              <w:t>预算编制较科学，得1.2（含）-1.6分；</w:t>
            </w:r>
            <w:r>
              <w:rPr>
                <w:color w:val="000000"/>
                <w:kern w:val="0"/>
                <w:sz w:val="24"/>
              </w:rPr>
              <w:br w:type="textWrapping"/>
            </w:r>
            <w:r>
              <w:rPr>
                <w:color w:val="000000"/>
                <w:kern w:val="0"/>
                <w:sz w:val="24"/>
              </w:rPr>
              <w:t>预算编制科学性较差，得0-1.2分。</w:t>
            </w:r>
          </w:p>
        </w:tc>
        <w:tc>
          <w:tcPr>
            <w:tcW w:w="635"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1.46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cantSplit/>
        </w:trPr>
        <w:tc>
          <w:tcPr>
            <w:tcW w:w="562"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426"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567"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425"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1134"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资金分配合理性</w:t>
            </w:r>
          </w:p>
        </w:tc>
        <w:tc>
          <w:tcPr>
            <w:tcW w:w="425"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1</w:t>
            </w:r>
          </w:p>
        </w:tc>
        <w:tc>
          <w:tcPr>
            <w:tcW w:w="3119" w:type="dxa"/>
            <w:vAlign w:val="center"/>
          </w:tcPr>
          <w:p>
            <w:pPr>
              <w:widowControl/>
              <w:adjustRightInd w:val="0"/>
              <w:snapToGrid w:val="0"/>
              <w:spacing w:line="240" w:lineRule="atLeast"/>
              <w:ind w:firstLine="0" w:firstLineChars="0"/>
              <w:jc w:val="left"/>
              <w:rPr>
                <w:color w:val="000000"/>
                <w:kern w:val="0"/>
                <w:sz w:val="24"/>
              </w:rPr>
            </w:pPr>
            <w:r>
              <w:rPr>
                <w:color w:val="000000"/>
                <w:kern w:val="0"/>
                <w:sz w:val="24"/>
              </w:rPr>
              <w:t>项目预算资金分配是否有测算依据，与补助单位或地方实际是否相适应，用以反映和考核项目预算资金分配的科学性、合理性情况。</w:t>
            </w:r>
          </w:p>
        </w:tc>
        <w:tc>
          <w:tcPr>
            <w:tcW w:w="4252" w:type="dxa"/>
            <w:vAlign w:val="center"/>
          </w:tcPr>
          <w:p>
            <w:pPr>
              <w:widowControl/>
              <w:adjustRightInd w:val="0"/>
              <w:snapToGrid w:val="0"/>
              <w:spacing w:line="240" w:lineRule="atLeast"/>
              <w:ind w:firstLine="0" w:firstLineChars="0"/>
              <w:jc w:val="left"/>
              <w:rPr>
                <w:color w:val="000000"/>
                <w:kern w:val="0"/>
                <w:sz w:val="24"/>
              </w:rPr>
            </w:pPr>
            <w:r>
              <w:rPr>
                <w:color w:val="000000"/>
                <w:kern w:val="0"/>
                <w:sz w:val="24"/>
              </w:rPr>
              <w:t>评价要点：</w:t>
            </w:r>
            <w:r>
              <w:rPr>
                <w:rFonts w:hint="eastAsia" w:ascii="宋体" w:hAnsi="宋体" w:eastAsia="宋体" w:cs="宋体"/>
                <w:color w:val="000000"/>
                <w:kern w:val="0"/>
                <w:sz w:val="24"/>
              </w:rPr>
              <w:t>①</w:t>
            </w:r>
            <w:r>
              <w:rPr>
                <w:color w:val="000000"/>
                <w:kern w:val="0"/>
                <w:sz w:val="24"/>
              </w:rPr>
              <w:t>预算资金分配依据是否充分；</w:t>
            </w:r>
            <w:r>
              <w:rPr>
                <w:rFonts w:hint="eastAsia" w:ascii="宋体" w:hAnsi="宋体" w:eastAsia="宋体" w:cs="宋体"/>
                <w:color w:val="000000"/>
                <w:kern w:val="0"/>
                <w:sz w:val="24"/>
              </w:rPr>
              <w:t>②</w:t>
            </w:r>
            <w:r>
              <w:rPr>
                <w:color w:val="000000"/>
                <w:kern w:val="0"/>
                <w:sz w:val="24"/>
              </w:rPr>
              <w:t>资金分配额度是否合理，与项目单位或地方实际是否相适应。</w:t>
            </w:r>
          </w:p>
        </w:tc>
        <w:tc>
          <w:tcPr>
            <w:tcW w:w="2403" w:type="dxa"/>
            <w:vAlign w:val="center"/>
          </w:tcPr>
          <w:p>
            <w:pPr>
              <w:widowControl/>
              <w:adjustRightInd w:val="0"/>
              <w:snapToGrid w:val="0"/>
              <w:spacing w:line="240" w:lineRule="atLeast"/>
              <w:ind w:firstLine="0" w:firstLineChars="0"/>
              <w:jc w:val="left"/>
              <w:rPr>
                <w:color w:val="000000"/>
                <w:kern w:val="0"/>
                <w:sz w:val="24"/>
              </w:rPr>
            </w:pPr>
            <w:r>
              <w:rPr>
                <w:color w:val="000000"/>
                <w:kern w:val="0"/>
                <w:sz w:val="24"/>
              </w:rPr>
              <w:t>资金分配合理，得0.8（含）-1分；</w:t>
            </w:r>
            <w:r>
              <w:rPr>
                <w:color w:val="000000"/>
                <w:kern w:val="0"/>
                <w:sz w:val="24"/>
              </w:rPr>
              <w:br w:type="textWrapping"/>
            </w:r>
            <w:r>
              <w:rPr>
                <w:color w:val="000000"/>
                <w:kern w:val="0"/>
                <w:sz w:val="24"/>
              </w:rPr>
              <w:t>资金分配较合理，得0.6（含）-0.8分；</w:t>
            </w:r>
            <w:r>
              <w:rPr>
                <w:color w:val="000000"/>
                <w:kern w:val="0"/>
                <w:sz w:val="24"/>
              </w:rPr>
              <w:br w:type="textWrapping"/>
            </w:r>
            <w:r>
              <w:rPr>
                <w:color w:val="000000"/>
                <w:kern w:val="0"/>
                <w:sz w:val="24"/>
              </w:rPr>
              <w:t>资金分配不合理，得0-0.6分。</w:t>
            </w:r>
          </w:p>
        </w:tc>
        <w:tc>
          <w:tcPr>
            <w:tcW w:w="635"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cantSplit/>
        </w:trPr>
        <w:tc>
          <w:tcPr>
            <w:tcW w:w="562" w:type="dxa"/>
            <w:vMerge w:val="restart"/>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过程</w:t>
            </w:r>
          </w:p>
        </w:tc>
        <w:tc>
          <w:tcPr>
            <w:tcW w:w="426" w:type="dxa"/>
            <w:vMerge w:val="restart"/>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20</w:t>
            </w:r>
          </w:p>
        </w:tc>
        <w:tc>
          <w:tcPr>
            <w:tcW w:w="567" w:type="dxa"/>
            <w:vMerge w:val="restart"/>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资金管理</w:t>
            </w:r>
          </w:p>
        </w:tc>
        <w:tc>
          <w:tcPr>
            <w:tcW w:w="425" w:type="dxa"/>
            <w:vMerge w:val="restart"/>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10</w:t>
            </w:r>
          </w:p>
        </w:tc>
        <w:tc>
          <w:tcPr>
            <w:tcW w:w="1134"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资金到位率</w:t>
            </w:r>
          </w:p>
        </w:tc>
        <w:tc>
          <w:tcPr>
            <w:tcW w:w="425"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3</w:t>
            </w:r>
          </w:p>
        </w:tc>
        <w:tc>
          <w:tcPr>
            <w:tcW w:w="3119" w:type="dxa"/>
            <w:vAlign w:val="center"/>
          </w:tcPr>
          <w:p>
            <w:pPr>
              <w:widowControl/>
              <w:adjustRightInd w:val="0"/>
              <w:snapToGrid w:val="0"/>
              <w:spacing w:line="240" w:lineRule="atLeast"/>
              <w:ind w:firstLine="0" w:firstLineChars="0"/>
              <w:jc w:val="left"/>
              <w:rPr>
                <w:color w:val="000000"/>
                <w:kern w:val="0"/>
                <w:sz w:val="24"/>
              </w:rPr>
            </w:pPr>
            <w:r>
              <w:rPr>
                <w:color w:val="000000"/>
                <w:kern w:val="0"/>
                <w:sz w:val="24"/>
              </w:rPr>
              <w:t>实际到位资金与预算资金的比率，用以反映和考核资金落实情况对项目实施的总体保障程度。</w:t>
            </w:r>
          </w:p>
        </w:tc>
        <w:tc>
          <w:tcPr>
            <w:tcW w:w="4252" w:type="dxa"/>
            <w:vAlign w:val="center"/>
          </w:tcPr>
          <w:p>
            <w:pPr>
              <w:widowControl/>
              <w:adjustRightInd w:val="0"/>
              <w:snapToGrid w:val="0"/>
              <w:spacing w:line="240" w:lineRule="atLeast"/>
              <w:ind w:firstLine="0" w:firstLineChars="0"/>
              <w:jc w:val="left"/>
              <w:rPr>
                <w:color w:val="000000"/>
                <w:kern w:val="0"/>
                <w:sz w:val="24"/>
              </w:rPr>
            </w:pPr>
            <w:r>
              <w:rPr>
                <w:color w:val="000000"/>
                <w:kern w:val="0"/>
                <w:sz w:val="24"/>
              </w:rPr>
              <w:t>资金到位率=（实际到位资金/预算资金）×100%。实际到位资金：一定时期（本年度或项目期）内落实到具体项目的资金。预算资金：一定时期（本年度或项目期）内预算安排到具体项目的资金。</w:t>
            </w:r>
          </w:p>
        </w:tc>
        <w:tc>
          <w:tcPr>
            <w:tcW w:w="2403" w:type="dxa"/>
            <w:vAlign w:val="center"/>
          </w:tcPr>
          <w:p>
            <w:pPr>
              <w:widowControl/>
              <w:adjustRightInd w:val="0"/>
              <w:snapToGrid w:val="0"/>
              <w:spacing w:line="240" w:lineRule="atLeast"/>
              <w:ind w:firstLine="0" w:firstLineChars="0"/>
              <w:jc w:val="left"/>
              <w:rPr>
                <w:color w:val="000000"/>
                <w:kern w:val="0"/>
                <w:sz w:val="24"/>
              </w:rPr>
            </w:pPr>
            <w:r>
              <w:rPr>
                <w:color w:val="000000"/>
                <w:kern w:val="0"/>
                <w:sz w:val="24"/>
              </w:rPr>
              <w:t>得分=3分×资金到位率。</w:t>
            </w:r>
          </w:p>
        </w:tc>
        <w:tc>
          <w:tcPr>
            <w:tcW w:w="635"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cantSplit/>
        </w:trPr>
        <w:tc>
          <w:tcPr>
            <w:tcW w:w="562"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426"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567"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425"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1134"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预算执行率</w:t>
            </w:r>
          </w:p>
        </w:tc>
        <w:tc>
          <w:tcPr>
            <w:tcW w:w="425"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3</w:t>
            </w:r>
          </w:p>
        </w:tc>
        <w:tc>
          <w:tcPr>
            <w:tcW w:w="3119" w:type="dxa"/>
            <w:vAlign w:val="center"/>
          </w:tcPr>
          <w:p>
            <w:pPr>
              <w:widowControl/>
              <w:adjustRightInd w:val="0"/>
              <w:snapToGrid w:val="0"/>
              <w:spacing w:line="240" w:lineRule="atLeast"/>
              <w:ind w:firstLine="0" w:firstLineChars="0"/>
              <w:jc w:val="left"/>
              <w:rPr>
                <w:color w:val="000000"/>
                <w:kern w:val="0"/>
                <w:sz w:val="24"/>
              </w:rPr>
            </w:pPr>
            <w:r>
              <w:rPr>
                <w:color w:val="000000"/>
                <w:kern w:val="0"/>
                <w:sz w:val="24"/>
              </w:rPr>
              <w:t>项目预算资金是否按照计划执行，用以反映或考核项目预算执行情况。</w:t>
            </w:r>
          </w:p>
        </w:tc>
        <w:tc>
          <w:tcPr>
            <w:tcW w:w="4252" w:type="dxa"/>
            <w:vAlign w:val="center"/>
          </w:tcPr>
          <w:p>
            <w:pPr>
              <w:widowControl/>
              <w:adjustRightInd w:val="0"/>
              <w:snapToGrid w:val="0"/>
              <w:spacing w:line="240" w:lineRule="atLeast"/>
              <w:ind w:firstLine="0" w:firstLineChars="0"/>
              <w:jc w:val="left"/>
              <w:rPr>
                <w:color w:val="000000"/>
                <w:kern w:val="0"/>
                <w:sz w:val="24"/>
              </w:rPr>
            </w:pPr>
            <w:r>
              <w:rPr>
                <w:color w:val="000000"/>
                <w:kern w:val="0"/>
                <w:sz w:val="24"/>
              </w:rPr>
              <w:t>预算执行率=（实际支出资金/实际到位资金）×100%。实际支出资金：一定时期（本年度或项目期）内项目实际拨付的资金。</w:t>
            </w:r>
          </w:p>
        </w:tc>
        <w:tc>
          <w:tcPr>
            <w:tcW w:w="2403" w:type="dxa"/>
            <w:vAlign w:val="center"/>
          </w:tcPr>
          <w:p>
            <w:pPr>
              <w:widowControl/>
              <w:adjustRightInd w:val="0"/>
              <w:snapToGrid w:val="0"/>
              <w:spacing w:line="240" w:lineRule="atLeast"/>
              <w:ind w:firstLine="0" w:firstLineChars="0"/>
              <w:jc w:val="left"/>
              <w:rPr>
                <w:color w:val="000000"/>
                <w:kern w:val="0"/>
                <w:sz w:val="24"/>
              </w:rPr>
            </w:pPr>
            <w:r>
              <w:rPr>
                <w:color w:val="000000"/>
                <w:kern w:val="0"/>
                <w:sz w:val="24"/>
              </w:rPr>
              <w:t>得分=3分×预算执行率。</w:t>
            </w:r>
          </w:p>
        </w:tc>
        <w:tc>
          <w:tcPr>
            <w:tcW w:w="635"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cantSplit/>
        </w:trPr>
        <w:tc>
          <w:tcPr>
            <w:tcW w:w="562"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426"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567"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425"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1134"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资金使用合规性</w:t>
            </w:r>
          </w:p>
        </w:tc>
        <w:tc>
          <w:tcPr>
            <w:tcW w:w="425"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4</w:t>
            </w:r>
          </w:p>
        </w:tc>
        <w:tc>
          <w:tcPr>
            <w:tcW w:w="3119" w:type="dxa"/>
            <w:vAlign w:val="center"/>
          </w:tcPr>
          <w:p>
            <w:pPr>
              <w:widowControl/>
              <w:adjustRightInd w:val="0"/>
              <w:snapToGrid w:val="0"/>
              <w:spacing w:line="240" w:lineRule="atLeast"/>
              <w:ind w:firstLine="0" w:firstLineChars="0"/>
              <w:jc w:val="left"/>
              <w:rPr>
                <w:color w:val="000000"/>
                <w:kern w:val="0"/>
                <w:sz w:val="24"/>
              </w:rPr>
            </w:pPr>
            <w:r>
              <w:rPr>
                <w:color w:val="000000"/>
                <w:kern w:val="0"/>
                <w:sz w:val="24"/>
              </w:rPr>
              <w:t>项目资金使用是否符合相关的财务管理制度规定，用以反映和考核项目资金的规范运行情况。</w:t>
            </w:r>
          </w:p>
        </w:tc>
        <w:tc>
          <w:tcPr>
            <w:tcW w:w="4252" w:type="dxa"/>
            <w:vAlign w:val="center"/>
          </w:tcPr>
          <w:p>
            <w:pPr>
              <w:widowControl/>
              <w:adjustRightInd w:val="0"/>
              <w:snapToGrid w:val="0"/>
              <w:spacing w:line="240" w:lineRule="atLeast"/>
              <w:ind w:firstLine="0" w:firstLineChars="0"/>
              <w:jc w:val="left"/>
              <w:rPr>
                <w:color w:val="000000"/>
                <w:kern w:val="0"/>
                <w:sz w:val="24"/>
              </w:rPr>
            </w:pPr>
            <w:r>
              <w:rPr>
                <w:color w:val="000000"/>
                <w:kern w:val="0"/>
                <w:sz w:val="24"/>
              </w:rPr>
              <w:t>评价要点：</w:t>
            </w:r>
            <w:r>
              <w:rPr>
                <w:rFonts w:hint="eastAsia" w:ascii="宋体" w:hAnsi="宋体" w:eastAsia="宋体" w:cs="宋体"/>
                <w:color w:val="000000"/>
                <w:kern w:val="0"/>
                <w:sz w:val="24"/>
              </w:rPr>
              <w:t>①</w:t>
            </w:r>
            <w:r>
              <w:rPr>
                <w:color w:val="000000"/>
                <w:kern w:val="0"/>
                <w:sz w:val="24"/>
              </w:rPr>
              <w:t>是否符合国家财经法规和财务管理制度以及有关专项资金管理办法的规定；</w:t>
            </w:r>
            <w:r>
              <w:rPr>
                <w:rFonts w:hint="eastAsia" w:ascii="宋体" w:hAnsi="宋体" w:eastAsia="宋体" w:cs="宋体"/>
                <w:color w:val="000000"/>
                <w:kern w:val="0"/>
                <w:sz w:val="24"/>
              </w:rPr>
              <w:t>②</w:t>
            </w:r>
            <w:r>
              <w:rPr>
                <w:color w:val="000000"/>
                <w:kern w:val="0"/>
                <w:sz w:val="24"/>
              </w:rPr>
              <w:t>资金的拨付是否有完整的审批程序和手续；</w:t>
            </w:r>
            <w:r>
              <w:rPr>
                <w:rFonts w:hint="eastAsia" w:ascii="宋体" w:hAnsi="宋体" w:eastAsia="宋体" w:cs="宋体"/>
                <w:color w:val="000000"/>
                <w:kern w:val="0"/>
                <w:sz w:val="24"/>
              </w:rPr>
              <w:t>③</w:t>
            </w:r>
            <w:r>
              <w:rPr>
                <w:color w:val="000000"/>
                <w:kern w:val="0"/>
                <w:sz w:val="24"/>
              </w:rPr>
              <w:t>是否符合项目预算批复或合同规定的用途；</w:t>
            </w:r>
            <w:r>
              <w:rPr>
                <w:rFonts w:hint="eastAsia" w:ascii="宋体" w:hAnsi="宋体" w:eastAsia="宋体" w:cs="宋体"/>
                <w:color w:val="000000"/>
                <w:kern w:val="0"/>
                <w:sz w:val="24"/>
              </w:rPr>
              <w:t>④</w:t>
            </w:r>
            <w:r>
              <w:rPr>
                <w:color w:val="000000"/>
                <w:kern w:val="0"/>
                <w:sz w:val="24"/>
              </w:rPr>
              <w:t>是否存在截留、挤占、挪用、虚列支出等情况。</w:t>
            </w:r>
          </w:p>
        </w:tc>
        <w:tc>
          <w:tcPr>
            <w:tcW w:w="2403" w:type="dxa"/>
            <w:vAlign w:val="center"/>
          </w:tcPr>
          <w:p>
            <w:pPr>
              <w:widowControl/>
              <w:adjustRightInd w:val="0"/>
              <w:snapToGrid w:val="0"/>
              <w:spacing w:line="240" w:lineRule="atLeast"/>
              <w:ind w:firstLine="0" w:firstLineChars="0"/>
              <w:jc w:val="left"/>
              <w:rPr>
                <w:color w:val="000000"/>
                <w:kern w:val="0"/>
                <w:sz w:val="24"/>
              </w:rPr>
            </w:pPr>
            <w:r>
              <w:rPr>
                <w:color w:val="000000"/>
                <w:kern w:val="0"/>
                <w:sz w:val="24"/>
              </w:rPr>
              <w:t>出现一项问题扣1分。</w:t>
            </w:r>
          </w:p>
        </w:tc>
        <w:tc>
          <w:tcPr>
            <w:tcW w:w="635"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cantSplit/>
        </w:trPr>
        <w:tc>
          <w:tcPr>
            <w:tcW w:w="562"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426"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567" w:type="dxa"/>
            <w:vMerge w:val="restart"/>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组织实施</w:t>
            </w:r>
          </w:p>
        </w:tc>
        <w:tc>
          <w:tcPr>
            <w:tcW w:w="425" w:type="dxa"/>
            <w:vMerge w:val="restart"/>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10</w:t>
            </w:r>
          </w:p>
        </w:tc>
        <w:tc>
          <w:tcPr>
            <w:tcW w:w="1134"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管理制度健全性</w:t>
            </w:r>
          </w:p>
        </w:tc>
        <w:tc>
          <w:tcPr>
            <w:tcW w:w="425"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5</w:t>
            </w:r>
          </w:p>
        </w:tc>
        <w:tc>
          <w:tcPr>
            <w:tcW w:w="3119" w:type="dxa"/>
            <w:vAlign w:val="center"/>
          </w:tcPr>
          <w:p>
            <w:pPr>
              <w:widowControl/>
              <w:adjustRightInd w:val="0"/>
              <w:snapToGrid w:val="0"/>
              <w:spacing w:line="240" w:lineRule="atLeast"/>
              <w:ind w:firstLine="0" w:firstLineChars="0"/>
              <w:jc w:val="left"/>
              <w:rPr>
                <w:color w:val="000000"/>
                <w:kern w:val="0"/>
                <w:sz w:val="24"/>
              </w:rPr>
            </w:pPr>
            <w:r>
              <w:rPr>
                <w:color w:val="000000"/>
                <w:kern w:val="0"/>
                <w:sz w:val="24"/>
              </w:rPr>
              <w:t>项目实施单位的财务和业务管理制度是否健全，用以反映和考核财务和业务管理制度对项目顺利实施的保障情况。</w:t>
            </w:r>
          </w:p>
        </w:tc>
        <w:tc>
          <w:tcPr>
            <w:tcW w:w="4252" w:type="dxa"/>
            <w:vAlign w:val="center"/>
          </w:tcPr>
          <w:p>
            <w:pPr>
              <w:widowControl/>
              <w:adjustRightInd w:val="0"/>
              <w:snapToGrid w:val="0"/>
              <w:spacing w:line="240" w:lineRule="atLeast"/>
              <w:ind w:firstLine="0" w:firstLineChars="0"/>
              <w:jc w:val="left"/>
              <w:rPr>
                <w:color w:val="000000"/>
                <w:kern w:val="0"/>
                <w:sz w:val="24"/>
              </w:rPr>
            </w:pPr>
            <w:r>
              <w:rPr>
                <w:color w:val="000000"/>
                <w:kern w:val="0"/>
                <w:sz w:val="24"/>
              </w:rPr>
              <w:t>评价要点：</w:t>
            </w:r>
            <w:r>
              <w:rPr>
                <w:rFonts w:hint="eastAsia" w:ascii="宋体" w:hAnsi="宋体" w:eastAsia="宋体" w:cs="宋体"/>
                <w:color w:val="000000"/>
                <w:kern w:val="0"/>
                <w:sz w:val="24"/>
              </w:rPr>
              <w:t>①</w:t>
            </w:r>
            <w:r>
              <w:rPr>
                <w:color w:val="000000"/>
                <w:kern w:val="0"/>
                <w:sz w:val="24"/>
              </w:rPr>
              <w:t>是否已制定或具有相应的财务和业务管理制度；</w:t>
            </w:r>
            <w:r>
              <w:rPr>
                <w:rFonts w:hint="eastAsia" w:ascii="宋体" w:hAnsi="宋体" w:eastAsia="宋体" w:cs="宋体"/>
                <w:color w:val="000000"/>
                <w:kern w:val="0"/>
                <w:sz w:val="24"/>
              </w:rPr>
              <w:t>②</w:t>
            </w:r>
            <w:r>
              <w:rPr>
                <w:color w:val="000000"/>
                <w:kern w:val="0"/>
                <w:sz w:val="24"/>
              </w:rPr>
              <w:t>财务和业务管理制度是否合法、合规、完整。</w:t>
            </w:r>
          </w:p>
        </w:tc>
        <w:tc>
          <w:tcPr>
            <w:tcW w:w="2403" w:type="dxa"/>
            <w:vAlign w:val="center"/>
          </w:tcPr>
          <w:p>
            <w:pPr>
              <w:widowControl/>
              <w:adjustRightInd w:val="0"/>
              <w:snapToGrid w:val="0"/>
              <w:spacing w:line="240" w:lineRule="atLeast"/>
              <w:ind w:firstLine="0" w:firstLineChars="0"/>
              <w:jc w:val="left"/>
              <w:rPr>
                <w:color w:val="000000"/>
                <w:kern w:val="0"/>
                <w:sz w:val="24"/>
              </w:rPr>
            </w:pPr>
            <w:r>
              <w:rPr>
                <w:color w:val="000000"/>
                <w:kern w:val="0"/>
                <w:sz w:val="24"/>
              </w:rPr>
              <w:t>管理制度健全，得4（含）-5分；</w:t>
            </w:r>
            <w:r>
              <w:rPr>
                <w:color w:val="000000"/>
                <w:kern w:val="0"/>
                <w:sz w:val="24"/>
              </w:rPr>
              <w:br w:type="textWrapping"/>
            </w:r>
            <w:r>
              <w:rPr>
                <w:color w:val="000000"/>
                <w:kern w:val="0"/>
                <w:sz w:val="24"/>
              </w:rPr>
              <w:t>管理制度较健全，得3（含）-4分；</w:t>
            </w:r>
            <w:r>
              <w:rPr>
                <w:color w:val="000000"/>
                <w:kern w:val="0"/>
                <w:sz w:val="24"/>
              </w:rPr>
              <w:br w:type="textWrapping"/>
            </w:r>
            <w:r>
              <w:rPr>
                <w:color w:val="000000"/>
                <w:kern w:val="0"/>
                <w:sz w:val="24"/>
              </w:rPr>
              <w:t>管理制度健全性较差，得0-3分。</w:t>
            </w:r>
          </w:p>
        </w:tc>
        <w:tc>
          <w:tcPr>
            <w:tcW w:w="635"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cantSplit/>
        </w:trPr>
        <w:tc>
          <w:tcPr>
            <w:tcW w:w="562"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426"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567"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425"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1134"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制度执行有效性</w:t>
            </w:r>
          </w:p>
        </w:tc>
        <w:tc>
          <w:tcPr>
            <w:tcW w:w="425"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5</w:t>
            </w:r>
          </w:p>
        </w:tc>
        <w:tc>
          <w:tcPr>
            <w:tcW w:w="3119" w:type="dxa"/>
            <w:vAlign w:val="center"/>
          </w:tcPr>
          <w:p>
            <w:pPr>
              <w:widowControl/>
              <w:adjustRightInd w:val="0"/>
              <w:snapToGrid w:val="0"/>
              <w:spacing w:line="240" w:lineRule="atLeast"/>
              <w:ind w:firstLine="0" w:firstLineChars="0"/>
              <w:jc w:val="left"/>
              <w:rPr>
                <w:color w:val="000000"/>
                <w:kern w:val="0"/>
                <w:sz w:val="24"/>
              </w:rPr>
            </w:pPr>
            <w:r>
              <w:rPr>
                <w:color w:val="000000"/>
                <w:kern w:val="0"/>
                <w:sz w:val="24"/>
              </w:rPr>
              <w:t>项目实施是否符合相关管理规定，用以反映和考核相关管理制度的有效执行情况。</w:t>
            </w:r>
          </w:p>
        </w:tc>
        <w:tc>
          <w:tcPr>
            <w:tcW w:w="4252" w:type="dxa"/>
            <w:vAlign w:val="center"/>
          </w:tcPr>
          <w:p>
            <w:pPr>
              <w:widowControl/>
              <w:adjustRightInd w:val="0"/>
              <w:snapToGrid w:val="0"/>
              <w:spacing w:line="240" w:lineRule="atLeast"/>
              <w:ind w:firstLine="0" w:firstLineChars="0"/>
              <w:jc w:val="left"/>
              <w:rPr>
                <w:color w:val="000000"/>
                <w:kern w:val="0"/>
                <w:sz w:val="24"/>
              </w:rPr>
            </w:pPr>
            <w:r>
              <w:rPr>
                <w:color w:val="000000"/>
                <w:kern w:val="0"/>
                <w:sz w:val="24"/>
              </w:rPr>
              <w:t>评价要点：</w:t>
            </w:r>
            <w:r>
              <w:rPr>
                <w:rFonts w:hint="eastAsia" w:ascii="宋体" w:hAnsi="宋体" w:eastAsia="宋体" w:cs="宋体"/>
                <w:color w:val="000000"/>
                <w:kern w:val="0"/>
                <w:sz w:val="24"/>
              </w:rPr>
              <w:t>①</w:t>
            </w:r>
            <w:r>
              <w:rPr>
                <w:color w:val="000000"/>
                <w:kern w:val="0"/>
                <w:sz w:val="24"/>
              </w:rPr>
              <w:t>是否遵守相关法律法规和相关管理规定；</w:t>
            </w:r>
            <w:r>
              <w:rPr>
                <w:rFonts w:hint="eastAsia" w:ascii="宋体" w:hAnsi="宋体" w:eastAsia="宋体" w:cs="宋体"/>
                <w:color w:val="000000"/>
                <w:kern w:val="0"/>
                <w:sz w:val="24"/>
              </w:rPr>
              <w:t>②</w:t>
            </w:r>
            <w:r>
              <w:rPr>
                <w:color w:val="000000"/>
                <w:kern w:val="0"/>
                <w:sz w:val="24"/>
              </w:rPr>
              <w:t>项目调整及支出调整手续是否完备；</w:t>
            </w:r>
            <w:r>
              <w:rPr>
                <w:rFonts w:hint="eastAsia" w:ascii="宋体" w:hAnsi="宋体" w:eastAsia="宋体" w:cs="宋体"/>
                <w:color w:val="000000"/>
                <w:kern w:val="0"/>
                <w:sz w:val="24"/>
              </w:rPr>
              <w:t>③</w:t>
            </w:r>
            <w:r>
              <w:rPr>
                <w:color w:val="000000"/>
                <w:kern w:val="0"/>
                <w:sz w:val="24"/>
              </w:rPr>
              <w:t>项目合同书、验收报告、技术鉴定等资料是否齐全并及时归档；</w:t>
            </w:r>
            <w:r>
              <w:rPr>
                <w:rFonts w:hint="eastAsia" w:ascii="宋体" w:hAnsi="宋体" w:eastAsia="宋体" w:cs="宋体"/>
                <w:color w:val="000000"/>
                <w:kern w:val="0"/>
                <w:sz w:val="24"/>
              </w:rPr>
              <w:t>④</w:t>
            </w:r>
            <w:r>
              <w:rPr>
                <w:color w:val="000000"/>
                <w:kern w:val="0"/>
                <w:sz w:val="24"/>
              </w:rPr>
              <w:t>项目实施的人员条件、场地设备、信息支撑等是否落实到位。</w:t>
            </w:r>
          </w:p>
        </w:tc>
        <w:tc>
          <w:tcPr>
            <w:tcW w:w="2403" w:type="dxa"/>
            <w:vAlign w:val="center"/>
          </w:tcPr>
          <w:p>
            <w:pPr>
              <w:widowControl/>
              <w:adjustRightInd w:val="0"/>
              <w:snapToGrid w:val="0"/>
              <w:spacing w:line="240" w:lineRule="atLeast"/>
              <w:ind w:firstLine="0" w:firstLineChars="0"/>
              <w:jc w:val="left"/>
              <w:rPr>
                <w:color w:val="000000"/>
                <w:kern w:val="0"/>
                <w:sz w:val="24"/>
              </w:rPr>
            </w:pPr>
            <w:r>
              <w:rPr>
                <w:color w:val="000000"/>
                <w:kern w:val="0"/>
                <w:sz w:val="24"/>
              </w:rPr>
              <w:t>制度执行有效，得4（含）-5分；</w:t>
            </w:r>
            <w:r>
              <w:rPr>
                <w:color w:val="000000"/>
                <w:kern w:val="0"/>
                <w:sz w:val="24"/>
              </w:rPr>
              <w:br w:type="textWrapping"/>
            </w:r>
            <w:r>
              <w:rPr>
                <w:color w:val="000000"/>
                <w:kern w:val="0"/>
                <w:sz w:val="24"/>
              </w:rPr>
              <w:t>制度执行较有效，得3（含）-4分；</w:t>
            </w:r>
            <w:r>
              <w:rPr>
                <w:color w:val="000000"/>
                <w:kern w:val="0"/>
                <w:sz w:val="24"/>
              </w:rPr>
              <w:br w:type="textWrapping"/>
            </w:r>
            <w:r>
              <w:rPr>
                <w:color w:val="000000"/>
                <w:kern w:val="0"/>
                <w:sz w:val="24"/>
              </w:rPr>
              <w:t>制度执行效果差，得0-3分。</w:t>
            </w:r>
          </w:p>
        </w:tc>
        <w:tc>
          <w:tcPr>
            <w:tcW w:w="635"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cantSplit/>
        </w:trPr>
        <w:tc>
          <w:tcPr>
            <w:tcW w:w="562" w:type="dxa"/>
            <w:vMerge w:val="restart"/>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产出</w:t>
            </w:r>
          </w:p>
        </w:tc>
        <w:tc>
          <w:tcPr>
            <w:tcW w:w="426" w:type="dxa"/>
            <w:vMerge w:val="restart"/>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40</w:t>
            </w:r>
          </w:p>
        </w:tc>
        <w:tc>
          <w:tcPr>
            <w:tcW w:w="567" w:type="dxa"/>
            <w:vMerge w:val="restart"/>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数量指标</w:t>
            </w:r>
          </w:p>
        </w:tc>
        <w:tc>
          <w:tcPr>
            <w:tcW w:w="425" w:type="dxa"/>
            <w:vMerge w:val="restart"/>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10</w:t>
            </w:r>
          </w:p>
        </w:tc>
        <w:tc>
          <w:tcPr>
            <w:tcW w:w="1134"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获取财务公司审计意见报告</w:t>
            </w:r>
          </w:p>
        </w:tc>
        <w:tc>
          <w:tcPr>
            <w:tcW w:w="425"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3</w:t>
            </w:r>
          </w:p>
        </w:tc>
        <w:tc>
          <w:tcPr>
            <w:tcW w:w="3119" w:type="dxa"/>
            <w:vMerge w:val="restart"/>
            <w:vAlign w:val="center"/>
          </w:tcPr>
          <w:p>
            <w:pPr>
              <w:widowControl/>
              <w:adjustRightInd w:val="0"/>
              <w:snapToGrid w:val="0"/>
              <w:spacing w:line="240" w:lineRule="atLeast"/>
              <w:ind w:firstLine="0" w:firstLineChars="0"/>
              <w:jc w:val="left"/>
              <w:rPr>
                <w:color w:val="000000"/>
                <w:kern w:val="0"/>
                <w:sz w:val="24"/>
              </w:rPr>
            </w:pPr>
            <w:r>
              <w:rPr>
                <w:color w:val="000000"/>
                <w:kern w:val="0"/>
                <w:sz w:val="24"/>
              </w:rPr>
              <w:t>项目实施的实际产出数与计划产出数的比率，用以反映和考核项目产出数量目标的实现程度。</w:t>
            </w:r>
          </w:p>
        </w:tc>
        <w:tc>
          <w:tcPr>
            <w:tcW w:w="4252" w:type="dxa"/>
            <w:vMerge w:val="restart"/>
            <w:vAlign w:val="center"/>
          </w:tcPr>
          <w:p>
            <w:pPr>
              <w:widowControl/>
              <w:adjustRightInd w:val="0"/>
              <w:snapToGrid w:val="0"/>
              <w:spacing w:line="240" w:lineRule="atLeast"/>
              <w:ind w:firstLine="0" w:firstLineChars="0"/>
              <w:jc w:val="left"/>
              <w:rPr>
                <w:color w:val="000000"/>
                <w:kern w:val="0"/>
                <w:sz w:val="24"/>
              </w:rPr>
            </w:pPr>
            <w:r>
              <w:rPr>
                <w:color w:val="000000"/>
                <w:kern w:val="0"/>
                <w:sz w:val="24"/>
              </w:rPr>
              <w:t>实际完成率=（实际产出数/计划产出数）×100%。实际产出数：一定时期（本年度或项目期）内项目实际产出的产品或提供的服务数量。计划产出数：项目绩效目标确定的在一定时期（本年度或项目期）内计划产出的产品或提供的服务数量。</w:t>
            </w:r>
          </w:p>
        </w:tc>
        <w:tc>
          <w:tcPr>
            <w:tcW w:w="2403" w:type="dxa"/>
            <w:vMerge w:val="restart"/>
            <w:vAlign w:val="center"/>
          </w:tcPr>
          <w:p>
            <w:pPr>
              <w:widowControl/>
              <w:adjustRightInd w:val="0"/>
              <w:snapToGrid w:val="0"/>
              <w:spacing w:line="240" w:lineRule="atLeast"/>
              <w:ind w:firstLine="0" w:firstLineChars="0"/>
              <w:jc w:val="left"/>
              <w:rPr>
                <w:color w:val="000000"/>
                <w:kern w:val="0"/>
                <w:sz w:val="24"/>
              </w:rPr>
            </w:pPr>
            <w:r>
              <w:rPr>
                <w:color w:val="000000"/>
                <w:kern w:val="0"/>
                <w:sz w:val="24"/>
              </w:rPr>
              <w:t>得分等于指标分值*实际完成率；满分为标准分值。</w:t>
            </w:r>
          </w:p>
        </w:tc>
        <w:tc>
          <w:tcPr>
            <w:tcW w:w="635"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cantSplit/>
        </w:trPr>
        <w:tc>
          <w:tcPr>
            <w:tcW w:w="562"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426"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567"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425"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1134"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召开专家咨询评审会</w:t>
            </w:r>
          </w:p>
        </w:tc>
        <w:tc>
          <w:tcPr>
            <w:tcW w:w="425"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3</w:t>
            </w:r>
          </w:p>
        </w:tc>
        <w:tc>
          <w:tcPr>
            <w:tcW w:w="3119"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4252"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2403"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635"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cantSplit/>
        </w:trPr>
        <w:tc>
          <w:tcPr>
            <w:tcW w:w="562"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426"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567"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425"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1134"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支持科学仪器项目</w:t>
            </w:r>
          </w:p>
        </w:tc>
        <w:tc>
          <w:tcPr>
            <w:tcW w:w="425"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4</w:t>
            </w:r>
          </w:p>
        </w:tc>
        <w:tc>
          <w:tcPr>
            <w:tcW w:w="3119"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4252"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2403"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635"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cantSplit/>
        </w:trPr>
        <w:tc>
          <w:tcPr>
            <w:tcW w:w="562"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426"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567"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质量指标</w:t>
            </w:r>
          </w:p>
        </w:tc>
        <w:tc>
          <w:tcPr>
            <w:tcW w:w="425"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10</w:t>
            </w:r>
          </w:p>
        </w:tc>
        <w:tc>
          <w:tcPr>
            <w:tcW w:w="1134"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政策实施</w:t>
            </w:r>
          </w:p>
        </w:tc>
        <w:tc>
          <w:tcPr>
            <w:tcW w:w="425"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10</w:t>
            </w:r>
          </w:p>
        </w:tc>
        <w:tc>
          <w:tcPr>
            <w:tcW w:w="3119" w:type="dxa"/>
            <w:vAlign w:val="center"/>
          </w:tcPr>
          <w:p>
            <w:pPr>
              <w:widowControl/>
              <w:adjustRightInd w:val="0"/>
              <w:snapToGrid w:val="0"/>
              <w:spacing w:line="240" w:lineRule="atLeast"/>
              <w:ind w:firstLine="0" w:firstLineChars="0"/>
              <w:jc w:val="left"/>
              <w:rPr>
                <w:color w:val="000000"/>
                <w:kern w:val="0"/>
                <w:sz w:val="24"/>
              </w:rPr>
            </w:pPr>
            <w:r>
              <w:rPr>
                <w:color w:val="000000"/>
                <w:kern w:val="0"/>
                <w:sz w:val="24"/>
              </w:rPr>
              <w:t>项目完成的质量达标产出数与实际产出数的比率，用以反映和考核项目产出质量目标的实现程度。</w:t>
            </w:r>
          </w:p>
        </w:tc>
        <w:tc>
          <w:tcPr>
            <w:tcW w:w="4252" w:type="dxa"/>
            <w:vAlign w:val="center"/>
          </w:tcPr>
          <w:p>
            <w:pPr>
              <w:widowControl/>
              <w:adjustRightInd w:val="0"/>
              <w:snapToGrid w:val="0"/>
              <w:spacing w:line="240" w:lineRule="atLeast"/>
              <w:ind w:firstLine="0" w:firstLineChars="0"/>
              <w:jc w:val="left"/>
              <w:rPr>
                <w:color w:val="000000"/>
                <w:kern w:val="0"/>
                <w:sz w:val="24"/>
              </w:rPr>
            </w:pPr>
            <w:r>
              <w:rPr>
                <w:color w:val="000000"/>
                <w:kern w:val="0"/>
                <w:sz w:val="24"/>
              </w:rPr>
              <w:t>质量达标率=（质量达标产出数/实际产出数）×100%。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2403" w:type="dxa"/>
            <w:vAlign w:val="center"/>
          </w:tcPr>
          <w:p>
            <w:pPr>
              <w:widowControl/>
              <w:adjustRightInd w:val="0"/>
              <w:snapToGrid w:val="0"/>
              <w:spacing w:line="240" w:lineRule="atLeast"/>
              <w:ind w:firstLine="0" w:firstLineChars="0"/>
              <w:jc w:val="left"/>
              <w:rPr>
                <w:color w:val="000000"/>
                <w:kern w:val="0"/>
                <w:sz w:val="24"/>
              </w:rPr>
            </w:pPr>
            <w:r>
              <w:rPr>
                <w:color w:val="000000"/>
                <w:kern w:val="0"/>
                <w:sz w:val="24"/>
              </w:rPr>
              <w:t>得分等于指标分值×质量达标率。</w:t>
            </w:r>
          </w:p>
        </w:tc>
        <w:tc>
          <w:tcPr>
            <w:tcW w:w="635"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cantSplit/>
        </w:trPr>
        <w:tc>
          <w:tcPr>
            <w:tcW w:w="562"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426"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567"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时效指标</w:t>
            </w:r>
          </w:p>
        </w:tc>
        <w:tc>
          <w:tcPr>
            <w:tcW w:w="425"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10</w:t>
            </w:r>
          </w:p>
        </w:tc>
        <w:tc>
          <w:tcPr>
            <w:tcW w:w="1134"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项目执行整体进度</w:t>
            </w:r>
          </w:p>
        </w:tc>
        <w:tc>
          <w:tcPr>
            <w:tcW w:w="425"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10</w:t>
            </w:r>
          </w:p>
        </w:tc>
        <w:tc>
          <w:tcPr>
            <w:tcW w:w="3119" w:type="dxa"/>
            <w:vAlign w:val="center"/>
          </w:tcPr>
          <w:p>
            <w:pPr>
              <w:widowControl/>
              <w:adjustRightInd w:val="0"/>
              <w:snapToGrid w:val="0"/>
              <w:spacing w:line="240" w:lineRule="atLeast"/>
              <w:ind w:firstLine="0" w:firstLineChars="0"/>
              <w:jc w:val="left"/>
              <w:rPr>
                <w:color w:val="000000"/>
                <w:kern w:val="0"/>
                <w:sz w:val="24"/>
              </w:rPr>
            </w:pPr>
            <w:r>
              <w:rPr>
                <w:color w:val="000000"/>
                <w:kern w:val="0"/>
                <w:sz w:val="24"/>
              </w:rPr>
              <w:t>项目实际完成时间与计划完成时间的比较，用以反映和考核项目产出时效目标的实现程度。</w:t>
            </w:r>
          </w:p>
        </w:tc>
        <w:tc>
          <w:tcPr>
            <w:tcW w:w="4252" w:type="dxa"/>
            <w:vAlign w:val="center"/>
          </w:tcPr>
          <w:p>
            <w:pPr>
              <w:widowControl/>
              <w:adjustRightInd w:val="0"/>
              <w:snapToGrid w:val="0"/>
              <w:spacing w:line="240" w:lineRule="atLeast"/>
              <w:ind w:firstLine="0" w:firstLineChars="0"/>
              <w:jc w:val="left"/>
              <w:rPr>
                <w:color w:val="000000"/>
                <w:kern w:val="0"/>
                <w:sz w:val="24"/>
              </w:rPr>
            </w:pPr>
            <w:r>
              <w:rPr>
                <w:color w:val="000000"/>
                <w:kern w:val="0"/>
                <w:sz w:val="24"/>
              </w:rPr>
              <w:t>实际完成时间：项目实施单位完成该项目实际所耗用的时间。计划完成时间：按照项目实施计划或相关规定完成该项目所需的时间。</w:t>
            </w:r>
          </w:p>
        </w:tc>
        <w:tc>
          <w:tcPr>
            <w:tcW w:w="2403" w:type="dxa"/>
            <w:vAlign w:val="center"/>
          </w:tcPr>
          <w:p>
            <w:pPr>
              <w:widowControl/>
              <w:adjustRightInd w:val="0"/>
              <w:snapToGrid w:val="0"/>
              <w:spacing w:line="240" w:lineRule="atLeast"/>
              <w:ind w:firstLine="0" w:firstLineChars="0"/>
              <w:jc w:val="left"/>
              <w:rPr>
                <w:color w:val="000000"/>
                <w:kern w:val="0"/>
                <w:sz w:val="24"/>
              </w:rPr>
            </w:pPr>
            <w:r>
              <w:rPr>
                <w:color w:val="000000"/>
                <w:kern w:val="0"/>
                <w:sz w:val="24"/>
              </w:rPr>
              <w:t>得分等于指标分值×完成及时率。</w:t>
            </w:r>
          </w:p>
        </w:tc>
        <w:tc>
          <w:tcPr>
            <w:tcW w:w="635"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cantSplit/>
        </w:trPr>
        <w:tc>
          <w:tcPr>
            <w:tcW w:w="562"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426"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567"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成本指标</w:t>
            </w:r>
          </w:p>
        </w:tc>
        <w:tc>
          <w:tcPr>
            <w:tcW w:w="425"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10</w:t>
            </w:r>
          </w:p>
        </w:tc>
        <w:tc>
          <w:tcPr>
            <w:tcW w:w="1134"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项目预算控制金额</w:t>
            </w:r>
          </w:p>
        </w:tc>
        <w:tc>
          <w:tcPr>
            <w:tcW w:w="425"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10</w:t>
            </w:r>
          </w:p>
        </w:tc>
        <w:tc>
          <w:tcPr>
            <w:tcW w:w="3119" w:type="dxa"/>
            <w:vAlign w:val="center"/>
          </w:tcPr>
          <w:p>
            <w:pPr>
              <w:widowControl/>
              <w:adjustRightInd w:val="0"/>
              <w:snapToGrid w:val="0"/>
              <w:spacing w:line="240" w:lineRule="atLeast"/>
              <w:ind w:firstLine="0" w:firstLineChars="0"/>
              <w:jc w:val="left"/>
              <w:rPr>
                <w:color w:val="000000"/>
                <w:kern w:val="0"/>
                <w:sz w:val="24"/>
              </w:rPr>
            </w:pPr>
            <w:r>
              <w:rPr>
                <w:color w:val="000000"/>
                <w:kern w:val="0"/>
                <w:sz w:val="24"/>
              </w:rPr>
              <w:t>完成项目计划工作目标的实际节约成本与计划成本的比率，用以反映和考核项目的成本节约程度。</w:t>
            </w:r>
          </w:p>
        </w:tc>
        <w:tc>
          <w:tcPr>
            <w:tcW w:w="4252" w:type="dxa"/>
            <w:vAlign w:val="center"/>
          </w:tcPr>
          <w:p>
            <w:pPr>
              <w:widowControl/>
              <w:adjustRightInd w:val="0"/>
              <w:snapToGrid w:val="0"/>
              <w:spacing w:line="240" w:lineRule="atLeast"/>
              <w:ind w:firstLine="0" w:firstLineChars="0"/>
              <w:jc w:val="left"/>
              <w:rPr>
                <w:color w:val="000000"/>
                <w:kern w:val="0"/>
                <w:sz w:val="24"/>
              </w:rPr>
            </w:pPr>
            <w:r>
              <w:rPr>
                <w:color w:val="000000"/>
                <w:kern w:val="0"/>
                <w:sz w:val="24"/>
              </w:rPr>
              <w:t>成本节约率=[（计划成本-实际成本）/计划成本]×100%。实际成本：项目实施单位如期、保质、保量完成既定工作目标实际所耗费的支出。计划成本：项目实施单位为完成工作目标计划安排的支出，一般以项目预算为参考。</w:t>
            </w:r>
          </w:p>
        </w:tc>
        <w:tc>
          <w:tcPr>
            <w:tcW w:w="2403" w:type="dxa"/>
            <w:vAlign w:val="center"/>
          </w:tcPr>
          <w:p>
            <w:pPr>
              <w:widowControl/>
              <w:adjustRightInd w:val="0"/>
              <w:snapToGrid w:val="0"/>
              <w:spacing w:line="240" w:lineRule="atLeast"/>
              <w:ind w:firstLine="0" w:firstLineChars="0"/>
              <w:jc w:val="left"/>
              <w:rPr>
                <w:color w:val="000000"/>
                <w:kern w:val="0"/>
                <w:sz w:val="24"/>
              </w:rPr>
            </w:pPr>
            <w:r>
              <w:rPr>
                <w:color w:val="000000"/>
                <w:kern w:val="0"/>
                <w:sz w:val="24"/>
              </w:rPr>
              <w:t>实际成本≤计划成本，得满分；实际成本＞计划成本，得分=（1-超支率）×指标分值。</w:t>
            </w:r>
          </w:p>
        </w:tc>
        <w:tc>
          <w:tcPr>
            <w:tcW w:w="635"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cantSplit/>
        </w:trPr>
        <w:tc>
          <w:tcPr>
            <w:tcW w:w="562" w:type="dxa"/>
            <w:vMerge w:val="restart"/>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效益</w:t>
            </w:r>
          </w:p>
        </w:tc>
        <w:tc>
          <w:tcPr>
            <w:tcW w:w="426" w:type="dxa"/>
            <w:vMerge w:val="restart"/>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30</w:t>
            </w:r>
          </w:p>
        </w:tc>
        <w:tc>
          <w:tcPr>
            <w:tcW w:w="567"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经济效益</w:t>
            </w:r>
          </w:p>
        </w:tc>
        <w:tc>
          <w:tcPr>
            <w:tcW w:w="425"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8</w:t>
            </w:r>
          </w:p>
        </w:tc>
        <w:tc>
          <w:tcPr>
            <w:tcW w:w="1134"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经济效益</w:t>
            </w:r>
          </w:p>
        </w:tc>
        <w:tc>
          <w:tcPr>
            <w:tcW w:w="425"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8</w:t>
            </w:r>
          </w:p>
        </w:tc>
        <w:tc>
          <w:tcPr>
            <w:tcW w:w="3119" w:type="dxa"/>
            <w:vAlign w:val="center"/>
          </w:tcPr>
          <w:p>
            <w:pPr>
              <w:widowControl/>
              <w:adjustRightInd w:val="0"/>
              <w:snapToGrid w:val="0"/>
              <w:spacing w:line="240" w:lineRule="atLeast"/>
              <w:ind w:firstLine="0" w:firstLineChars="0"/>
              <w:jc w:val="left"/>
              <w:rPr>
                <w:color w:val="000000"/>
                <w:kern w:val="0"/>
                <w:sz w:val="24"/>
              </w:rPr>
            </w:pPr>
            <w:r>
              <w:rPr>
                <w:color w:val="000000"/>
                <w:kern w:val="0"/>
                <w:sz w:val="24"/>
              </w:rPr>
              <w:t>考核评价专项资金政策对相关企业经营业绩增长、地区经济发展的贡献。</w:t>
            </w:r>
          </w:p>
        </w:tc>
        <w:tc>
          <w:tcPr>
            <w:tcW w:w="4252" w:type="dxa"/>
            <w:vAlign w:val="center"/>
          </w:tcPr>
          <w:p>
            <w:pPr>
              <w:widowControl/>
              <w:adjustRightInd w:val="0"/>
              <w:snapToGrid w:val="0"/>
              <w:spacing w:line="240" w:lineRule="atLeast"/>
              <w:ind w:firstLine="0" w:firstLineChars="0"/>
              <w:jc w:val="left"/>
              <w:rPr>
                <w:color w:val="000000"/>
                <w:kern w:val="0"/>
                <w:sz w:val="24"/>
              </w:rPr>
            </w:pPr>
            <w:r>
              <w:rPr>
                <w:color w:val="000000"/>
                <w:kern w:val="0"/>
                <w:sz w:val="24"/>
              </w:rPr>
              <w:t>专项资金政策对相关企业经营业绩增长、地区经济发展的贡献。</w:t>
            </w:r>
          </w:p>
        </w:tc>
        <w:tc>
          <w:tcPr>
            <w:tcW w:w="2403" w:type="dxa"/>
            <w:vAlign w:val="center"/>
          </w:tcPr>
          <w:p>
            <w:pPr>
              <w:widowControl/>
              <w:adjustRightInd w:val="0"/>
              <w:snapToGrid w:val="0"/>
              <w:spacing w:line="240" w:lineRule="atLeast"/>
              <w:ind w:firstLine="0" w:firstLineChars="0"/>
              <w:jc w:val="left"/>
              <w:rPr>
                <w:color w:val="000000"/>
                <w:kern w:val="0"/>
                <w:sz w:val="24"/>
              </w:rPr>
            </w:pPr>
            <w:r>
              <w:rPr>
                <w:color w:val="000000"/>
                <w:kern w:val="0"/>
                <w:sz w:val="24"/>
              </w:rPr>
              <w:t>经济效益好，得6.4（含）-8分；</w:t>
            </w:r>
            <w:r>
              <w:rPr>
                <w:color w:val="000000"/>
                <w:kern w:val="0"/>
                <w:sz w:val="24"/>
              </w:rPr>
              <w:br w:type="textWrapping"/>
            </w:r>
            <w:r>
              <w:rPr>
                <w:color w:val="000000"/>
                <w:kern w:val="0"/>
                <w:sz w:val="24"/>
              </w:rPr>
              <w:t>经济效益较好，得4.8（含）6.48分；</w:t>
            </w:r>
            <w:r>
              <w:rPr>
                <w:color w:val="000000"/>
                <w:kern w:val="0"/>
                <w:sz w:val="24"/>
              </w:rPr>
              <w:br w:type="textWrapping"/>
            </w:r>
            <w:r>
              <w:rPr>
                <w:color w:val="000000"/>
                <w:kern w:val="0"/>
                <w:sz w:val="24"/>
              </w:rPr>
              <w:t>经济效益一般，得0-4.8分。</w:t>
            </w:r>
          </w:p>
        </w:tc>
        <w:tc>
          <w:tcPr>
            <w:tcW w:w="635"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cantSplit/>
        </w:trPr>
        <w:tc>
          <w:tcPr>
            <w:tcW w:w="562"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426"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567" w:type="dxa"/>
            <w:vMerge w:val="restart"/>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社会效益</w:t>
            </w:r>
          </w:p>
        </w:tc>
        <w:tc>
          <w:tcPr>
            <w:tcW w:w="425" w:type="dxa"/>
            <w:vMerge w:val="restart"/>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16</w:t>
            </w:r>
          </w:p>
        </w:tc>
        <w:tc>
          <w:tcPr>
            <w:tcW w:w="1134"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仪器企业数量</w:t>
            </w:r>
          </w:p>
        </w:tc>
        <w:tc>
          <w:tcPr>
            <w:tcW w:w="425"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8</w:t>
            </w:r>
          </w:p>
        </w:tc>
        <w:tc>
          <w:tcPr>
            <w:tcW w:w="3119" w:type="dxa"/>
            <w:vMerge w:val="restart"/>
            <w:vAlign w:val="center"/>
          </w:tcPr>
          <w:p>
            <w:pPr>
              <w:widowControl/>
              <w:adjustRightInd w:val="0"/>
              <w:snapToGrid w:val="0"/>
              <w:spacing w:line="240" w:lineRule="atLeast"/>
              <w:ind w:firstLine="0" w:firstLineChars="0"/>
              <w:jc w:val="left"/>
              <w:rPr>
                <w:color w:val="000000"/>
                <w:kern w:val="0"/>
                <w:sz w:val="24"/>
              </w:rPr>
            </w:pPr>
            <w:r>
              <w:rPr>
                <w:color w:val="000000"/>
                <w:kern w:val="0"/>
                <w:sz w:val="24"/>
              </w:rPr>
              <w:t>考核评价专项资金政策对仪器企业数量增长促进情况、相关产业就业情况、产业生态综合发展的贡献。</w:t>
            </w:r>
          </w:p>
        </w:tc>
        <w:tc>
          <w:tcPr>
            <w:tcW w:w="4252" w:type="dxa"/>
            <w:vMerge w:val="restart"/>
            <w:vAlign w:val="center"/>
          </w:tcPr>
          <w:p>
            <w:pPr>
              <w:widowControl/>
              <w:adjustRightInd w:val="0"/>
              <w:snapToGrid w:val="0"/>
              <w:spacing w:line="240" w:lineRule="atLeast"/>
              <w:ind w:firstLine="0" w:firstLineChars="0"/>
              <w:jc w:val="left"/>
              <w:rPr>
                <w:color w:val="000000"/>
                <w:kern w:val="0"/>
                <w:sz w:val="24"/>
              </w:rPr>
            </w:pPr>
            <w:r>
              <w:rPr>
                <w:color w:val="000000"/>
                <w:kern w:val="0"/>
                <w:sz w:val="24"/>
              </w:rPr>
              <w:t>专项资金政策对仪器企业数量增长促进情况、相关产业就业情况、产业生态综合发展的贡献。</w:t>
            </w:r>
          </w:p>
        </w:tc>
        <w:tc>
          <w:tcPr>
            <w:tcW w:w="2403" w:type="dxa"/>
            <w:vAlign w:val="center"/>
          </w:tcPr>
          <w:p>
            <w:pPr>
              <w:widowControl/>
              <w:adjustRightInd w:val="0"/>
              <w:snapToGrid w:val="0"/>
              <w:spacing w:line="240" w:lineRule="atLeast"/>
              <w:ind w:firstLine="0" w:firstLineChars="0"/>
              <w:jc w:val="left"/>
              <w:rPr>
                <w:color w:val="000000"/>
                <w:kern w:val="0"/>
                <w:sz w:val="24"/>
              </w:rPr>
            </w:pPr>
            <w:r>
              <w:rPr>
                <w:color w:val="000000"/>
                <w:kern w:val="0"/>
                <w:sz w:val="24"/>
              </w:rPr>
              <w:t>社会效益好，得6.4（含）-8分；</w:t>
            </w:r>
            <w:r>
              <w:rPr>
                <w:color w:val="000000"/>
                <w:kern w:val="0"/>
                <w:sz w:val="24"/>
              </w:rPr>
              <w:br w:type="textWrapping"/>
            </w:r>
            <w:r>
              <w:rPr>
                <w:color w:val="000000"/>
                <w:kern w:val="0"/>
                <w:sz w:val="24"/>
              </w:rPr>
              <w:t>社会效益较好，得4.8（含）-6.4分；</w:t>
            </w:r>
            <w:r>
              <w:rPr>
                <w:color w:val="000000"/>
                <w:kern w:val="0"/>
                <w:sz w:val="24"/>
              </w:rPr>
              <w:br w:type="textWrapping"/>
            </w:r>
            <w:r>
              <w:rPr>
                <w:color w:val="000000"/>
                <w:kern w:val="0"/>
                <w:sz w:val="24"/>
              </w:rPr>
              <w:t>社会效益一般，得0-4.8分。</w:t>
            </w:r>
          </w:p>
        </w:tc>
        <w:tc>
          <w:tcPr>
            <w:tcW w:w="635"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cantSplit/>
        </w:trPr>
        <w:tc>
          <w:tcPr>
            <w:tcW w:w="562"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426"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567"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425"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1134"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产业生态建设</w:t>
            </w:r>
          </w:p>
        </w:tc>
        <w:tc>
          <w:tcPr>
            <w:tcW w:w="425"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8</w:t>
            </w:r>
          </w:p>
        </w:tc>
        <w:tc>
          <w:tcPr>
            <w:tcW w:w="3119"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4252"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2403" w:type="dxa"/>
            <w:vAlign w:val="center"/>
          </w:tcPr>
          <w:p>
            <w:pPr>
              <w:widowControl/>
              <w:adjustRightInd w:val="0"/>
              <w:snapToGrid w:val="0"/>
              <w:spacing w:line="240" w:lineRule="atLeast"/>
              <w:ind w:firstLine="0" w:firstLineChars="0"/>
              <w:jc w:val="left"/>
              <w:rPr>
                <w:color w:val="000000"/>
                <w:kern w:val="0"/>
                <w:sz w:val="24"/>
              </w:rPr>
            </w:pPr>
            <w:r>
              <w:rPr>
                <w:color w:val="000000"/>
                <w:kern w:val="0"/>
                <w:sz w:val="24"/>
              </w:rPr>
              <w:t>社会效益好，得6.4（含）-8分；</w:t>
            </w:r>
            <w:r>
              <w:rPr>
                <w:color w:val="000000"/>
                <w:kern w:val="0"/>
                <w:sz w:val="24"/>
              </w:rPr>
              <w:br w:type="textWrapping"/>
            </w:r>
            <w:r>
              <w:rPr>
                <w:color w:val="000000"/>
                <w:kern w:val="0"/>
                <w:sz w:val="24"/>
              </w:rPr>
              <w:t>社会效益较好，得4.8（含）-6.4分；</w:t>
            </w:r>
            <w:r>
              <w:rPr>
                <w:color w:val="000000"/>
                <w:kern w:val="0"/>
                <w:sz w:val="24"/>
              </w:rPr>
              <w:br w:type="textWrapping"/>
            </w:r>
            <w:r>
              <w:rPr>
                <w:color w:val="000000"/>
                <w:kern w:val="0"/>
                <w:sz w:val="24"/>
              </w:rPr>
              <w:t>社会效益一般，得0-4.8分。</w:t>
            </w:r>
          </w:p>
        </w:tc>
        <w:tc>
          <w:tcPr>
            <w:tcW w:w="635"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cantSplit/>
        </w:trPr>
        <w:tc>
          <w:tcPr>
            <w:tcW w:w="562"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426" w:type="dxa"/>
            <w:vMerge w:val="continue"/>
            <w:vAlign w:val="center"/>
          </w:tcPr>
          <w:p>
            <w:pPr>
              <w:widowControl/>
              <w:adjustRightInd w:val="0"/>
              <w:snapToGrid w:val="0"/>
              <w:spacing w:line="240" w:lineRule="atLeast"/>
              <w:ind w:firstLine="0" w:firstLineChars="0"/>
              <w:jc w:val="left"/>
              <w:rPr>
                <w:color w:val="000000"/>
                <w:kern w:val="0"/>
                <w:sz w:val="24"/>
              </w:rPr>
            </w:pPr>
          </w:p>
        </w:tc>
        <w:tc>
          <w:tcPr>
            <w:tcW w:w="567"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满意度</w:t>
            </w:r>
          </w:p>
        </w:tc>
        <w:tc>
          <w:tcPr>
            <w:tcW w:w="425"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6</w:t>
            </w:r>
          </w:p>
        </w:tc>
        <w:tc>
          <w:tcPr>
            <w:tcW w:w="1134"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满意度</w:t>
            </w:r>
          </w:p>
        </w:tc>
        <w:tc>
          <w:tcPr>
            <w:tcW w:w="425"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6</w:t>
            </w:r>
          </w:p>
        </w:tc>
        <w:tc>
          <w:tcPr>
            <w:tcW w:w="3119" w:type="dxa"/>
            <w:vAlign w:val="center"/>
          </w:tcPr>
          <w:p>
            <w:pPr>
              <w:widowControl/>
              <w:adjustRightInd w:val="0"/>
              <w:snapToGrid w:val="0"/>
              <w:spacing w:line="240" w:lineRule="atLeast"/>
              <w:ind w:firstLine="0" w:firstLineChars="0"/>
              <w:jc w:val="left"/>
              <w:rPr>
                <w:color w:val="000000"/>
                <w:kern w:val="0"/>
                <w:sz w:val="24"/>
              </w:rPr>
            </w:pPr>
            <w:r>
              <w:rPr>
                <w:color w:val="000000"/>
                <w:kern w:val="0"/>
                <w:sz w:val="24"/>
              </w:rPr>
              <w:t>考核评价享受专项资金支持的企业对政策的满意程度。</w:t>
            </w:r>
          </w:p>
        </w:tc>
        <w:tc>
          <w:tcPr>
            <w:tcW w:w="4252" w:type="dxa"/>
            <w:vAlign w:val="center"/>
          </w:tcPr>
          <w:p>
            <w:pPr>
              <w:widowControl/>
              <w:adjustRightInd w:val="0"/>
              <w:snapToGrid w:val="0"/>
              <w:spacing w:line="240" w:lineRule="atLeast"/>
              <w:ind w:firstLine="0" w:firstLineChars="0"/>
              <w:jc w:val="left"/>
              <w:rPr>
                <w:color w:val="000000"/>
                <w:kern w:val="0"/>
                <w:sz w:val="24"/>
              </w:rPr>
            </w:pPr>
            <w:r>
              <w:rPr>
                <w:color w:val="000000"/>
                <w:kern w:val="0"/>
                <w:sz w:val="24"/>
              </w:rPr>
              <w:t>享受专项资金支持的企业对政策的满意程度。</w:t>
            </w:r>
          </w:p>
        </w:tc>
        <w:tc>
          <w:tcPr>
            <w:tcW w:w="2403" w:type="dxa"/>
            <w:vAlign w:val="center"/>
          </w:tcPr>
          <w:p>
            <w:pPr>
              <w:widowControl/>
              <w:adjustRightInd w:val="0"/>
              <w:snapToGrid w:val="0"/>
              <w:spacing w:line="240" w:lineRule="atLeast"/>
              <w:ind w:firstLine="0" w:firstLineChars="0"/>
              <w:jc w:val="left"/>
              <w:rPr>
                <w:color w:val="000000"/>
                <w:kern w:val="0"/>
                <w:sz w:val="24"/>
              </w:rPr>
            </w:pPr>
            <w:r>
              <w:rPr>
                <w:color w:val="000000"/>
                <w:kern w:val="0"/>
                <w:sz w:val="24"/>
              </w:rPr>
              <w:t>满意度95%及以上，得满分；满意度95%以下，得分=6分×企业总体满意度。</w:t>
            </w:r>
          </w:p>
        </w:tc>
        <w:tc>
          <w:tcPr>
            <w:tcW w:w="635" w:type="dxa"/>
            <w:vAlign w:val="center"/>
          </w:tcPr>
          <w:p>
            <w:pPr>
              <w:widowControl/>
              <w:adjustRightInd w:val="0"/>
              <w:snapToGrid w:val="0"/>
              <w:spacing w:line="240" w:lineRule="atLeast"/>
              <w:ind w:firstLine="0" w:firstLineChars="0"/>
              <w:jc w:val="center"/>
              <w:rPr>
                <w:color w:val="000000"/>
                <w:kern w:val="0"/>
                <w:sz w:val="24"/>
              </w:rPr>
            </w:pPr>
            <w:r>
              <w:rPr>
                <w:color w:val="000000"/>
                <w:kern w:val="0"/>
                <w:sz w:val="24"/>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cantSplit/>
        </w:trPr>
        <w:tc>
          <w:tcPr>
            <w:tcW w:w="562" w:type="dxa"/>
            <w:vAlign w:val="center"/>
          </w:tcPr>
          <w:p>
            <w:pPr>
              <w:widowControl/>
              <w:adjustRightInd w:val="0"/>
              <w:snapToGrid w:val="0"/>
              <w:spacing w:line="240" w:lineRule="atLeast"/>
              <w:ind w:firstLine="0" w:firstLineChars="0"/>
              <w:jc w:val="center"/>
              <w:rPr>
                <w:b/>
                <w:bCs/>
                <w:color w:val="000000"/>
                <w:kern w:val="0"/>
                <w:sz w:val="24"/>
              </w:rPr>
            </w:pPr>
            <w:r>
              <w:rPr>
                <w:b/>
                <w:bCs/>
                <w:color w:val="000000"/>
                <w:kern w:val="0"/>
                <w:sz w:val="24"/>
              </w:rPr>
              <w:t>合计</w:t>
            </w:r>
          </w:p>
        </w:tc>
        <w:tc>
          <w:tcPr>
            <w:tcW w:w="426" w:type="dxa"/>
            <w:vAlign w:val="center"/>
          </w:tcPr>
          <w:p>
            <w:pPr>
              <w:widowControl/>
              <w:adjustRightInd w:val="0"/>
              <w:snapToGrid w:val="0"/>
              <w:spacing w:line="240" w:lineRule="atLeast"/>
              <w:ind w:firstLine="0" w:firstLineChars="0"/>
              <w:jc w:val="center"/>
              <w:rPr>
                <w:b/>
                <w:bCs/>
                <w:color w:val="000000"/>
                <w:kern w:val="0"/>
                <w:sz w:val="24"/>
              </w:rPr>
            </w:pPr>
            <w:r>
              <w:rPr>
                <w:b/>
                <w:bCs/>
                <w:color w:val="000000"/>
                <w:kern w:val="0"/>
                <w:sz w:val="24"/>
              </w:rPr>
              <w:t>100</w:t>
            </w:r>
          </w:p>
        </w:tc>
        <w:tc>
          <w:tcPr>
            <w:tcW w:w="567" w:type="dxa"/>
            <w:vAlign w:val="center"/>
          </w:tcPr>
          <w:p>
            <w:pPr>
              <w:widowControl/>
              <w:adjustRightInd w:val="0"/>
              <w:snapToGrid w:val="0"/>
              <w:spacing w:line="240" w:lineRule="atLeast"/>
              <w:ind w:firstLine="0" w:firstLineChars="0"/>
              <w:jc w:val="center"/>
              <w:rPr>
                <w:b/>
                <w:bCs/>
                <w:color w:val="000000"/>
                <w:kern w:val="0"/>
                <w:sz w:val="24"/>
              </w:rPr>
            </w:pPr>
          </w:p>
        </w:tc>
        <w:tc>
          <w:tcPr>
            <w:tcW w:w="425" w:type="dxa"/>
            <w:vAlign w:val="center"/>
          </w:tcPr>
          <w:p>
            <w:pPr>
              <w:widowControl/>
              <w:adjustRightInd w:val="0"/>
              <w:snapToGrid w:val="0"/>
              <w:spacing w:line="240" w:lineRule="atLeast"/>
              <w:ind w:firstLine="0" w:firstLineChars="0"/>
              <w:jc w:val="center"/>
              <w:rPr>
                <w:b/>
                <w:bCs/>
                <w:color w:val="000000"/>
                <w:kern w:val="0"/>
                <w:sz w:val="24"/>
              </w:rPr>
            </w:pPr>
            <w:r>
              <w:rPr>
                <w:b/>
                <w:bCs/>
                <w:color w:val="000000"/>
                <w:kern w:val="0"/>
                <w:sz w:val="24"/>
              </w:rPr>
              <w:t>100</w:t>
            </w:r>
          </w:p>
        </w:tc>
        <w:tc>
          <w:tcPr>
            <w:tcW w:w="1134" w:type="dxa"/>
            <w:vAlign w:val="center"/>
          </w:tcPr>
          <w:p>
            <w:pPr>
              <w:widowControl/>
              <w:adjustRightInd w:val="0"/>
              <w:snapToGrid w:val="0"/>
              <w:spacing w:line="240" w:lineRule="atLeast"/>
              <w:ind w:firstLine="0" w:firstLineChars="0"/>
              <w:jc w:val="center"/>
              <w:rPr>
                <w:b/>
                <w:bCs/>
                <w:color w:val="000000"/>
                <w:kern w:val="0"/>
                <w:sz w:val="24"/>
              </w:rPr>
            </w:pPr>
          </w:p>
        </w:tc>
        <w:tc>
          <w:tcPr>
            <w:tcW w:w="425" w:type="dxa"/>
            <w:vAlign w:val="center"/>
          </w:tcPr>
          <w:p>
            <w:pPr>
              <w:widowControl/>
              <w:adjustRightInd w:val="0"/>
              <w:snapToGrid w:val="0"/>
              <w:spacing w:line="240" w:lineRule="atLeast"/>
              <w:ind w:firstLine="0" w:firstLineChars="0"/>
              <w:jc w:val="center"/>
              <w:rPr>
                <w:b/>
                <w:bCs/>
                <w:color w:val="000000"/>
                <w:kern w:val="0"/>
                <w:sz w:val="24"/>
              </w:rPr>
            </w:pPr>
            <w:r>
              <w:rPr>
                <w:b/>
                <w:bCs/>
                <w:color w:val="000000"/>
                <w:kern w:val="0"/>
                <w:sz w:val="24"/>
              </w:rPr>
              <w:t>100</w:t>
            </w:r>
          </w:p>
        </w:tc>
        <w:tc>
          <w:tcPr>
            <w:tcW w:w="3119" w:type="dxa"/>
            <w:vAlign w:val="center"/>
          </w:tcPr>
          <w:p>
            <w:pPr>
              <w:widowControl/>
              <w:adjustRightInd w:val="0"/>
              <w:snapToGrid w:val="0"/>
              <w:spacing w:line="240" w:lineRule="atLeast"/>
              <w:ind w:firstLine="0" w:firstLineChars="0"/>
              <w:jc w:val="center"/>
              <w:rPr>
                <w:b/>
                <w:bCs/>
                <w:color w:val="000000"/>
                <w:kern w:val="0"/>
                <w:sz w:val="24"/>
              </w:rPr>
            </w:pPr>
          </w:p>
        </w:tc>
        <w:tc>
          <w:tcPr>
            <w:tcW w:w="4252" w:type="dxa"/>
            <w:vAlign w:val="center"/>
          </w:tcPr>
          <w:p>
            <w:pPr>
              <w:widowControl/>
              <w:adjustRightInd w:val="0"/>
              <w:snapToGrid w:val="0"/>
              <w:spacing w:line="240" w:lineRule="atLeast"/>
              <w:ind w:firstLine="0" w:firstLineChars="0"/>
              <w:jc w:val="center"/>
              <w:rPr>
                <w:kern w:val="0"/>
                <w:sz w:val="24"/>
              </w:rPr>
            </w:pPr>
          </w:p>
        </w:tc>
        <w:tc>
          <w:tcPr>
            <w:tcW w:w="2403" w:type="dxa"/>
            <w:vAlign w:val="center"/>
          </w:tcPr>
          <w:p>
            <w:pPr>
              <w:widowControl/>
              <w:adjustRightInd w:val="0"/>
              <w:snapToGrid w:val="0"/>
              <w:spacing w:line="240" w:lineRule="atLeast"/>
              <w:ind w:firstLine="0" w:firstLineChars="0"/>
              <w:jc w:val="center"/>
              <w:rPr>
                <w:kern w:val="0"/>
                <w:sz w:val="24"/>
              </w:rPr>
            </w:pPr>
          </w:p>
        </w:tc>
        <w:tc>
          <w:tcPr>
            <w:tcW w:w="635" w:type="dxa"/>
            <w:vAlign w:val="center"/>
          </w:tcPr>
          <w:p>
            <w:pPr>
              <w:widowControl/>
              <w:adjustRightInd w:val="0"/>
              <w:snapToGrid w:val="0"/>
              <w:spacing w:line="240" w:lineRule="atLeast"/>
              <w:ind w:firstLine="0" w:firstLineChars="0"/>
              <w:jc w:val="center"/>
              <w:rPr>
                <w:b/>
                <w:bCs/>
                <w:color w:val="000000"/>
                <w:kern w:val="0"/>
                <w:sz w:val="24"/>
              </w:rPr>
            </w:pPr>
            <w:r>
              <w:rPr>
                <w:b/>
                <w:bCs/>
                <w:color w:val="000000"/>
                <w:kern w:val="0"/>
                <w:sz w:val="24"/>
              </w:rPr>
              <w:t>91.12</w:t>
            </w:r>
          </w:p>
        </w:tc>
      </w:tr>
    </w:tbl>
    <w:p>
      <w:pPr>
        <w:ind w:firstLine="640"/>
      </w:pPr>
    </w:p>
    <w:p>
      <w:pPr>
        <w:ind w:firstLine="0" w:firstLineChars="0"/>
      </w:pPr>
    </w:p>
    <w:sectPr>
      <w:pgSz w:w="16838" w:h="11906" w:orient="landscape"/>
      <w:pgMar w:top="1800" w:right="1440" w:bottom="1800" w:left="1440" w:header="708" w:footer="708" w:gutter="0"/>
      <w:cols w:space="708" w:num="1"/>
      <w:docGrid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38510547"/>
      <w:docPartObj>
        <w:docPartGallery w:val="autotext"/>
      </w:docPartObj>
    </w:sdtPr>
    <w:sdtContent>
      <w:p>
        <w:pPr>
          <w:pStyle w:val="11"/>
          <w:ind w:firstLine="360"/>
          <w:jc w:val="center"/>
        </w:pPr>
        <w:r>
          <w:fldChar w:fldCharType="begin"/>
        </w:r>
        <w:r>
          <w:instrText xml:space="preserve">PAGE   \* MERGEFORMAT</w:instrText>
        </w:r>
        <w:r>
          <w:fldChar w:fldCharType="separate"/>
        </w:r>
        <w:r>
          <w:rPr>
            <w:lang w:val="zh-CN"/>
          </w:rPr>
          <w:t>5</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6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5620E"/>
    <w:multiLevelType w:val="multilevel"/>
    <w:tmpl w:val="0315620E"/>
    <w:lvl w:ilvl="0" w:tentative="0">
      <w:start w:val="1"/>
      <w:numFmt w:val="decimal"/>
      <w:lvlText w:val="%1"/>
      <w:lvlJc w:val="left"/>
      <w:pPr>
        <w:tabs>
          <w:tab w:val="left" w:pos="360"/>
        </w:tabs>
        <w:ind w:left="284" w:hanging="284"/>
      </w:pPr>
      <w:rPr>
        <w:rFonts w:hint="default" w:ascii="Times New Roman" w:hAnsi="Times New Roman"/>
        <w:b/>
        <w:i w:val="0"/>
        <w:sz w:val="28"/>
      </w:rPr>
    </w:lvl>
    <w:lvl w:ilvl="1" w:tentative="0">
      <w:start w:val="1"/>
      <w:numFmt w:val="decimal"/>
      <w:lvlText w:val="%1.%2"/>
      <w:lvlJc w:val="left"/>
      <w:pPr>
        <w:tabs>
          <w:tab w:val="left" w:pos="1021"/>
        </w:tabs>
        <w:ind w:left="1021" w:hanging="596"/>
      </w:pPr>
      <w:rPr>
        <w:rFonts w:hint="default" w:ascii="Times New Roman" w:hAnsi="Times New Roman"/>
        <w:b/>
        <w:i w:val="0"/>
        <w:sz w:val="28"/>
      </w:rPr>
    </w:lvl>
    <w:lvl w:ilvl="2" w:tentative="0">
      <w:start w:val="1"/>
      <w:numFmt w:val="decimal"/>
      <w:lvlText w:val="%1.%2.%3"/>
      <w:lvlJc w:val="left"/>
      <w:pPr>
        <w:tabs>
          <w:tab w:val="left" w:pos="1588"/>
        </w:tabs>
        <w:ind w:left="1588" w:hanging="737"/>
      </w:pPr>
      <w:rPr>
        <w:rFonts w:hint="default" w:ascii="Times New Roman" w:hAnsi="Times New Roman"/>
        <w:b/>
        <w:i w:val="0"/>
        <w:sz w:val="24"/>
      </w:rPr>
    </w:lvl>
    <w:lvl w:ilvl="3" w:tentative="0">
      <w:start w:val="1"/>
      <w:numFmt w:val="decimal"/>
      <w:pStyle w:val="6"/>
      <w:lvlText w:val="%1.%2.%3.%4"/>
      <w:lvlJc w:val="left"/>
      <w:pPr>
        <w:tabs>
          <w:tab w:val="left" w:pos="2155"/>
        </w:tabs>
        <w:ind w:left="2155" w:hanging="1078"/>
      </w:pPr>
      <w:rPr>
        <w:rFonts w:hint="default" w:ascii="Arial" w:hAnsi="Arial"/>
        <w:b w:val="0"/>
        <w:i w:val="0"/>
        <w:sz w:val="24"/>
      </w:rPr>
    </w:lvl>
    <w:lvl w:ilvl="4" w:tentative="0">
      <w:start w:val="1"/>
      <w:numFmt w:val="decimal"/>
      <w:lvlText w:val="%1.%2.%3.%4.%5"/>
      <w:lvlJc w:val="left"/>
      <w:pPr>
        <w:tabs>
          <w:tab w:val="left" w:pos="3141"/>
        </w:tabs>
        <w:ind w:left="2551" w:hanging="850"/>
      </w:pPr>
      <w:rPr>
        <w:rFonts w:hint="eastAsia"/>
      </w:rPr>
    </w:lvl>
    <w:lvl w:ilvl="5" w:tentative="0">
      <w:start w:val="1"/>
      <w:numFmt w:val="decimal"/>
      <w:lvlText w:val="%1.%2.%3.%4.%5.%6"/>
      <w:lvlJc w:val="left"/>
      <w:pPr>
        <w:tabs>
          <w:tab w:val="left" w:pos="3566"/>
        </w:tabs>
        <w:ind w:left="3260" w:hanging="1134"/>
      </w:pPr>
      <w:rPr>
        <w:rFonts w:hint="eastAsia"/>
      </w:rPr>
    </w:lvl>
    <w:lvl w:ilvl="6" w:tentative="0">
      <w:start w:val="1"/>
      <w:numFmt w:val="decimal"/>
      <w:lvlText w:val="%1.%2.%3.%4.%5.%6.%7"/>
      <w:lvlJc w:val="left"/>
      <w:pPr>
        <w:tabs>
          <w:tab w:val="left" w:pos="4351"/>
        </w:tabs>
        <w:ind w:left="3827" w:hanging="1276"/>
      </w:pPr>
      <w:rPr>
        <w:rFonts w:hint="eastAsia"/>
      </w:rPr>
    </w:lvl>
    <w:lvl w:ilvl="7" w:tentative="0">
      <w:start w:val="1"/>
      <w:numFmt w:val="decimal"/>
      <w:lvlText w:val="%1.%2.%3.%4.%5.%6.%7.%8"/>
      <w:lvlJc w:val="left"/>
      <w:pPr>
        <w:tabs>
          <w:tab w:val="left" w:pos="5136"/>
        </w:tabs>
        <w:ind w:left="4394" w:hanging="1418"/>
      </w:pPr>
      <w:rPr>
        <w:rFonts w:hint="eastAsia"/>
      </w:rPr>
    </w:lvl>
    <w:lvl w:ilvl="8" w:tentative="0">
      <w:start w:val="1"/>
      <w:numFmt w:val="decimal"/>
      <w:lvlText w:val="%1.%2.%3.%4.%5.%6.%7.%8.%9"/>
      <w:lvlJc w:val="left"/>
      <w:pPr>
        <w:tabs>
          <w:tab w:val="left" w:pos="5562"/>
        </w:tabs>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60"/>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554"/>
    <w:rsid w:val="0000549C"/>
    <w:rsid w:val="000115D4"/>
    <w:rsid w:val="00012E20"/>
    <w:rsid w:val="00014219"/>
    <w:rsid w:val="00017582"/>
    <w:rsid w:val="000209EF"/>
    <w:rsid w:val="00023403"/>
    <w:rsid w:val="000405EE"/>
    <w:rsid w:val="000440FD"/>
    <w:rsid w:val="000448DE"/>
    <w:rsid w:val="00062B96"/>
    <w:rsid w:val="00063BC9"/>
    <w:rsid w:val="0006491A"/>
    <w:rsid w:val="000729E5"/>
    <w:rsid w:val="00074937"/>
    <w:rsid w:val="000756B0"/>
    <w:rsid w:val="0008176A"/>
    <w:rsid w:val="00086B0E"/>
    <w:rsid w:val="00086EBC"/>
    <w:rsid w:val="0009031A"/>
    <w:rsid w:val="000963D9"/>
    <w:rsid w:val="000A25F3"/>
    <w:rsid w:val="000D19D9"/>
    <w:rsid w:val="000D4262"/>
    <w:rsid w:val="000E669A"/>
    <w:rsid w:val="000F4770"/>
    <w:rsid w:val="000F5351"/>
    <w:rsid w:val="0010451B"/>
    <w:rsid w:val="00115295"/>
    <w:rsid w:val="0011583A"/>
    <w:rsid w:val="001214D6"/>
    <w:rsid w:val="00124311"/>
    <w:rsid w:val="00131F78"/>
    <w:rsid w:val="00132A41"/>
    <w:rsid w:val="00140798"/>
    <w:rsid w:val="00146927"/>
    <w:rsid w:val="0014795B"/>
    <w:rsid w:val="00151B14"/>
    <w:rsid w:val="00155EC3"/>
    <w:rsid w:val="00164FFA"/>
    <w:rsid w:val="00167253"/>
    <w:rsid w:val="00176E99"/>
    <w:rsid w:val="00184895"/>
    <w:rsid w:val="001868E6"/>
    <w:rsid w:val="00193ACC"/>
    <w:rsid w:val="0019759C"/>
    <w:rsid w:val="00197A17"/>
    <w:rsid w:val="001A4B68"/>
    <w:rsid w:val="001A7575"/>
    <w:rsid w:val="001B0F49"/>
    <w:rsid w:val="001B19C2"/>
    <w:rsid w:val="001B626E"/>
    <w:rsid w:val="001D6754"/>
    <w:rsid w:val="001E083A"/>
    <w:rsid w:val="001E6EFE"/>
    <w:rsid w:val="001F032B"/>
    <w:rsid w:val="001F1E22"/>
    <w:rsid w:val="00200A80"/>
    <w:rsid w:val="00201C21"/>
    <w:rsid w:val="002046F9"/>
    <w:rsid w:val="0021051D"/>
    <w:rsid w:val="00211998"/>
    <w:rsid w:val="00215F16"/>
    <w:rsid w:val="002208E5"/>
    <w:rsid w:val="00234271"/>
    <w:rsid w:val="00234379"/>
    <w:rsid w:val="002343FC"/>
    <w:rsid w:val="00242C39"/>
    <w:rsid w:val="0024470E"/>
    <w:rsid w:val="00255927"/>
    <w:rsid w:val="00255C60"/>
    <w:rsid w:val="00260DFC"/>
    <w:rsid w:val="002700E5"/>
    <w:rsid w:val="00276338"/>
    <w:rsid w:val="002767BA"/>
    <w:rsid w:val="002767BC"/>
    <w:rsid w:val="00277475"/>
    <w:rsid w:val="00283CAF"/>
    <w:rsid w:val="002869D7"/>
    <w:rsid w:val="002877AF"/>
    <w:rsid w:val="002948AA"/>
    <w:rsid w:val="002A01D4"/>
    <w:rsid w:val="002A5B59"/>
    <w:rsid w:val="002C502D"/>
    <w:rsid w:val="002C546D"/>
    <w:rsid w:val="002D0186"/>
    <w:rsid w:val="002D4AB0"/>
    <w:rsid w:val="002F4B14"/>
    <w:rsid w:val="002F6E86"/>
    <w:rsid w:val="002F785E"/>
    <w:rsid w:val="00303582"/>
    <w:rsid w:val="00304D56"/>
    <w:rsid w:val="0032552E"/>
    <w:rsid w:val="00326C47"/>
    <w:rsid w:val="003429F3"/>
    <w:rsid w:val="0034460B"/>
    <w:rsid w:val="00344774"/>
    <w:rsid w:val="00347FE6"/>
    <w:rsid w:val="00350CAB"/>
    <w:rsid w:val="00356089"/>
    <w:rsid w:val="003560E0"/>
    <w:rsid w:val="00364708"/>
    <w:rsid w:val="00367D70"/>
    <w:rsid w:val="003710AF"/>
    <w:rsid w:val="00375366"/>
    <w:rsid w:val="00377AFD"/>
    <w:rsid w:val="0039226E"/>
    <w:rsid w:val="003A0C8A"/>
    <w:rsid w:val="003A18C6"/>
    <w:rsid w:val="003A6F96"/>
    <w:rsid w:val="003B1D8F"/>
    <w:rsid w:val="003B28F4"/>
    <w:rsid w:val="003B3F0F"/>
    <w:rsid w:val="003B481D"/>
    <w:rsid w:val="003C1F14"/>
    <w:rsid w:val="003C3271"/>
    <w:rsid w:val="003C4A32"/>
    <w:rsid w:val="003C7385"/>
    <w:rsid w:val="003D1B80"/>
    <w:rsid w:val="003D5019"/>
    <w:rsid w:val="003E1570"/>
    <w:rsid w:val="003F4A9B"/>
    <w:rsid w:val="0040639C"/>
    <w:rsid w:val="00414679"/>
    <w:rsid w:val="00436826"/>
    <w:rsid w:val="004418D8"/>
    <w:rsid w:val="004419DC"/>
    <w:rsid w:val="00442A74"/>
    <w:rsid w:val="00454F57"/>
    <w:rsid w:val="0045537F"/>
    <w:rsid w:val="00461CF2"/>
    <w:rsid w:val="00462FC3"/>
    <w:rsid w:val="00472DF7"/>
    <w:rsid w:val="00475E10"/>
    <w:rsid w:val="00484EC5"/>
    <w:rsid w:val="0048687E"/>
    <w:rsid w:val="0049422F"/>
    <w:rsid w:val="004A2A2D"/>
    <w:rsid w:val="004B1F1E"/>
    <w:rsid w:val="004B4073"/>
    <w:rsid w:val="004B6418"/>
    <w:rsid w:val="004C0E32"/>
    <w:rsid w:val="004C25B4"/>
    <w:rsid w:val="004C28AC"/>
    <w:rsid w:val="004C6076"/>
    <w:rsid w:val="004D0C63"/>
    <w:rsid w:val="004D5AA8"/>
    <w:rsid w:val="004D70A5"/>
    <w:rsid w:val="004E35C1"/>
    <w:rsid w:val="004E36DB"/>
    <w:rsid w:val="004E536E"/>
    <w:rsid w:val="004E7DD1"/>
    <w:rsid w:val="00503090"/>
    <w:rsid w:val="005130C8"/>
    <w:rsid w:val="00524781"/>
    <w:rsid w:val="005268BD"/>
    <w:rsid w:val="005320FB"/>
    <w:rsid w:val="00534ED7"/>
    <w:rsid w:val="00541060"/>
    <w:rsid w:val="00541B28"/>
    <w:rsid w:val="00546BB0"/>
    <w:rsid w:val="005538B8"/>
    <w:rsid w:val="00554090"/>
    <w:rsid w:val="00557C3F"/>
    <w:rsid w:val="005646E9"/>
    <w:rsid w:val="0057205A"/>
    <w:rsid w:val="00573F58"/>
    <w:rsid w:val="00586035"/>
    <w:rsid w:val="00597C7A"/>
    <w:rsid w:val="005A0023"/>
    <w:rsid w:val="005A7381"/>
    <w:rsid w:val="005A7926"/>
    <w:rsid w:val="005B0F3A"/>
    <w:rsid w:val="005B16F7"/>
    <w:rsid w:val="005C7836"/>
    <w:rsid w:val="005C7BD6"/>
    <w:rsid w:val="005D62AD"/>
    <w:rsid w:val="005E1F2D"/>
    <w:rsid w:val="005E4387"/>
    <w:rsid w:val="005E4892"/>
    <w:rsid w:val="005F19B8"/>
    <w:rsid w:val="005F1D89"/>
    <w:rsid w:val="005F3897"/>
    <w:rsid w:val="005F7A5B"/>
    <w:rsid w:val="006041D1"/>
    <w:rsid w:val="0060547A"/>
    <w:rsid w:val="0060567C"/>
    <w:rsid w:val="00610793"/>
    <w:rsid w:val="00610AA5"/>
    <w:rsid w:val="006133B5"/>
    <w:rsid w:val="0061736C"/>
    <w:rsid w:val="006304E6"/>
    <w:rsid w:val="006425AC"/>
    <w:rsid w:val="00647AB4"/>
    <w:rsid w:val="006526A3"/>
    <w:rsid w:val="00655729"/>
    <w:rsid w:val="006573F1"/>
    <w:rsid w:val="0067367D"/>
    <w:rsid w:val="00682A0E"/>
    <w:rsid w:val="006854E7"/>
    <w:rsid w:val="00685F4B"/>
    <w:rsid w:val="00692FC1"/>
    <w:rsid w:val="00696D19"/>
    <w:rsid w:val="00697A18"/>
    <w:rsid w:val="006A1B3F"/>
    <w:rsid w:val="006A6D88"/>
    <w:rsid w:val="006B0D61"/>
    <w:rsid w:val="006B225E"/>
    <w:rsid w:val="006B3753"/>
    <w:rsid w:val="006C77A3"/>
    <w:rsid w:val="006D05F0"/>
    <w:rsid w:val="006D22CD"/>
    <w:rsid w:val="006D3B0F"/>
    <w:rsid w:val="006D3B20"/>
    <w:rsid w:val="006D4D0B"/>
    <w:rsid w:val="006D554C"/>
    <w:rsid w:val="006E1F58"/>
    <w:rsid w:val="006E7029"/>
    <w:rsid w:val="006F2198"/>
    <w:rsid w:val="006F45E8"/>
    <w:rsid w:val="0071087C"/>
    <w:rsid w:val="007132E6"/>
    <w:rsid w:val="00717E3E"/>
    <w:rsid w:val="00721DDE"/>
    <w:rsid w:val="00736F68"/>
    <w:rsid w:val="007471FF"/>
    <w:rsid w:val="0075007C"/>
    <w:rsid w:val="0075090F"/>
    <w:rsid w:val="00761558"/>
    <w:rsid w:val="00762F26"/>
    <w:rsid w:val="00766A06"/>
    <w:rsid w:val="007731A6"/>
    <w:rsid w:val="0077721B"/>
    <w:rsid w:val="00785554"/>
    <w:rsid w:val="00786FCD"/>
    <w:rsid w:val="00793AB5"/>
    <w:rsid w:val="00797E58"/>
    <w:rsid w:val="007B3244"/>
    <w:rsid w:val="007B436D"/>
    <w:rsid w:val="007D3710"/>
    <w:rsid w:val="007D37DC"/>
    <w:rsid w:val="007D4B05"/>
    <w:rsid w:val="007D71C9"/>
    <w:rsid w:val="007E039C"/>
    <w:rsid w:val="00803194"/>
    <w:rsid w:val="0080416D"/>
    <w:rsid w:val="0081546D"/>
    <w:rsid w:val="008161A4"/>
    <w:rsid w:val="00817CD2"/>
    <w:rsid w:val="00827AA8"/>
    <w:rsid w:val="00827E2D"/>
    <w:rsid w:val="00832BEC"/>
    <w:rsid w:val="00834FFC"/>
    <w:rsid w:val="0083665E"/>
    <w:rsid w:val="0085588C"/>
    <w:rsid w:val="0086770B"/>
    <w:rsid w:val="0087357C"/>
    <w:rsid w:val="00891DEF"/>
    <w:rsid w:val="00895502"/>
    <w:rsid w:val="00895E4C"/>
    <w:rsid w:val="008A0768"/>
    <w:rsid w:val="008B0B0F"/>
    <w:rsid w:val="008B3486"/>
    <w:rsid w:val="008C0883"/>
    <w:rsid w:val="008C130A"/>
    <w:rsid w:val="008C541C"/>
    <w:rsid w:val="008C699C"/>
    <w:rsid w:val="008E1A43"/>
    <w:rsid w:val="008E5805"/>
    <w:rsid w:val="008F1E3C"/>
    <w:rsid w:val="008F5929"/>
    <w:rsid w:val="009045DC"/>
    <w:rsid w:val="009134BE"/>
    <w:rsid w:val="00915651"/>
    <w:rsid w:val="00920C2B"/>
    <w:rsid w:val="009268A1"/>
    <w:rsid w:val="00933755"/>
    <w:rsid w:val="00961D3F"/>
    <w:rsid w:val="009836D8"/>
    <w:rsid w:val="00987564"/>
    <w:rsid w:val="009919AE"/>
    <w:rsid w:val="00996296"/>
    <w:rsid w:val="009A3B97"/>
    <w:rsid w:val="009A45CF"/>
    <w:rsid w:val="009B3DF0"/>
    <w:rsid w:val="009B6231"/>
    <w:rsid w:val="009B6B0D"/>
    <w:rsid w:val="009C08D8"/>
    <w:rsid w:val="009D1520"/>
    <w:rsid w:val="009E0BDE"/>
    <w:rsid w:val="009E371E"/>
    <w:rsid w:val="009E38A3"/>
    <w:rsid w:val="009F0A30"/>
    <w:rsid w:val="00A01671"/>
    <w:rsid w:val="00A059AE"/>
    <w:rsid w:val="00A1453A"/>
    <w:rsid w:val="00A15601"/>
    <w:rsid w:val="00A17C7B"/>
    <w:rsid w:val="00A17ED1"/>
    <w:rsid w:val="00A2389F"/>
    <w:rsid w:val="00A24D02"/>
    <w:rsid w:val="00A27A82"/>
    <w:rsid w:val="00A32A0B"/>
    <w:rsid w:val="00A32A48"/>
    <w:rsid w:val="00A345EA"/>
    <w:rsid w:val="00A47A08"/>
    <w:rsid w:val="00A574CC"/>
    <w:rsid w:val="00A65681"/>
    <w:rsid w:val="00A665C3"/>
    <w:rsid w:val="00A67F57"/>
    <w:rsid w:val="00A75BE5"/>
    <w:rsid w:val="00A81C8C"/>
    <w:rsid w:val="00A92102"/>
    <w:rsid w:val="00A96A8B"/>
    <w:rsid w:val="00AA6B21"/>
    <w:rsid w:val="00AB1071"/>
    <w:rsid w:val="00AB7D2C"/>
    <w:rsid w:val="00AC336E"/>
    <w:rsid w:val="00AC6C46"/>
    <w:rsid w:val="00AD0826"/>
    <w:rsid w:val="00AD0D6E"/>
    <w:rsid w:val="00AD3811"/>
    <w:rsid w:val="00AD78D8"/>
    <w:rsid w:val="00AE372A"/>
    <w:rsid w:val="00AE4B01"/>
    <w:rsid w:val="00AF24DE"/>
    <w:rsid w:val="00AF3CDA"/>
    <w:rsid w:val="00AF4005"/>
    <w:rsid w:val="00B0432C"/>
    <w:rsid w:val="00B05A5C"/>
    <w:rsid w:val="00B24668"/>
    <w:rsid w:val="00B40993"/>
    <w:rsid w:val="00B44DA5"/>
    <w:rsid w:val="00B44EC1"/>
    <w:rsid w:val="00B4709A"/>
    <w:rsid w:val="00B61BCD"/>
    <w:rsid w:val="00B6337D"/>
    <w:rsid w:val="00B73954"/>
    <w:rsid w:val="00B83923"/>
    <w:rsid w:val="00B91744"/>
    <w:rsid w:val="00B93310"/>
    <w:rsid w:val="00B947EC"/>
    <w:rsid w:val="00BA3E21"/>
    <w:rsid w:val="00BB03A5"/>
    <w:rsid w:val="00BB1099"/>
    <w:rsid w:val="00BB64FD"/>
    <w:rsid w:val="00BB749C"/>
    <w:rsid w:val="00BC14F6"/>
    <w:rsid w:val="00BC2FBA"/>
    <w:rsid w:val="00BC51BC"/>
    <w:rsid w:val="00BC742E"/>
    <w:rsid w:val="00BE07FB"/>
    <w:rsid w:val="00BE46B9"/>
    <w:rsid w:val="00BE7588"/>
    <w:rsid w:val="00BF4662"/>
    <w:rsid w:val="00BF4A44"/>
    <w:rsid w:val="00BF6053"/>
    <w:rsid w:val="00C007B7"/>
    <w:rsid w:val="00C04D60"/>
    <w:rsid w:val="00C113E5"/>
    <w:rsid w:val="00C12977"/>
    <w:rsid w:val="00C326CD"/>
    <w:rsid w:val="00C33AAF"/>
    <w:rsid w:val="00C407B8"/>
    <w:rsid w:val="00C40804"/>
    <w:rsid w:val="00C53563"/>
    <w:rsid w:val="00C550BF"/>
    <w:rsid w:val="00C5581F"/>
    <w:rsid w:val="00C57943"/>
    <w:rsid w:val="00C630DF"/>
    <w:rsid w:val="00C72293"/>
    <w:rsid w:val="00C727B3"/>
    <w:rsid w:val="00C72A83"/>
    <w:rsid w:val="00C80C9C"/>
    <w:rsid w:val="00C821D7"/>
    <w:rsid w:val="00CA3A03"/>
    <w:rsid w:val="00CA49A8"/>
    <w:rsid w:val="00CB567C"/>
    <w:rsid w:val="00CC215E"/>
    <w:rsid w:val="00CD774B"/>
    <w:rsid w:val="00CD7965"/>
    <w:rsid w:val="00CE0E9F"/>
    <w:rsid w:val="00CE3B27"/>
    <w:rsid w:val="00CE3B74"/>
    <w:rsid w:val="00CE64FF"/>
    <w:rsid w:val="00CF0913"/>
    <w:rsid w:val="00D053A4"/>
    <w:rsid w:val="00D06976"/>
    <w:rsid w:val="00D13108"/>
    <w:rsid w:val="00D15F7A"/>
    <w:rsid w:val="00D201D5"/>
    <w:rsid w:val="00D32B6B"/>
    <w:rsid w:val="00D37739"/>
    <w:rsid w:val="00D522BE"/>
    <w:rsid w:val="00D60EE0"/>
    <w:rsid w:val="00D706A4"/>
    <w:rsid w:val="00D706E3"/>
    <w:rsid w:val="00D74A30"/>
    <w:rsid w:val="00D74EC7"/>
    <w:rsid w:val="00D81A7B"/>
    <w:rsid w:val="00D827C3"/>
    <w:rsid w:val="00D8777B"/>
    <w:rsid w:val="00D90C1B"/>
    <w:rsid w:val="00D91CDA"/>
    <w:rsid w:val="00D97203"/>
    <w:rsid w:val="00DA1AEA"/>
    <w:rsid w:val="00DD0DB4"/>
    <w:rsid w:val="00DE1FC6"/>
    <w:rsid w:val="00DE2EE9"/>
    <w:rsid w:val="00DE3A04"/>
    <w:rsid w:val="00DE4139"/>
    <w:rsid w:val="00DF3645"/>
    <w:rsid w:val="00E00655"/>
    <w:rsid w:val="00E0665E"/>
    <w:rsid w:val="00E06967"/>
    <w:rsid w:val="00E073EE"/>
    <w:rsid w:val="00E077F6"/>
    <w:rsid w:val="00E15888"/>
    <w:rsid w:val="00E24013"/>
    <w:rsid w:val="00E322EE"/>
    <w:rsid w:val="00E3389B"/>
    <w:rsid w:val="00E3470C"/>
    <w:rsid w:val="00E50E31"/>
    <w:rsid w:val="00E614E1"/>
    <w:rsid w:val="00E85404"/>
    <w:rsid w:val="00E87E6E"/>
    <w:rsid w:val="00E900B8"/>
    <w:rsid w:val="00E9070A"/>
    <w:rsid w:val="00EA0D19"/>
    <w:rsid w:val="00EA2800"/>
    <w:rsid w:val="00EA4149"/>
    <w:rsid w:val="00EA7855"/>
    <w:rsid w:val="00EB4E0C"/>
    <w:rsid w:val="00EC41B1"/>
    <w:rsid w:val="00ED763B"/>
    <w:rsid w:val="00EE15AB"/>
    <w:rsid w:val="00EE41DB"/>
    <w:rsid w:val="00EF1F00"/>
    <w:rsid w:val="00F12EA8"/>
    <w:rsid w:val="00F148F6"/>
    <w:rsid w:val="00F2067C"/>
    <w:rsid w:val="00F26A08"/>
    <w:rsid w:val="00F33EE2"/>
    <w:rsid w:val="00F4304C"/>
    <w:rsid w:val="00F5198C"/>
    <w:rsid w:val="00F674B1"/>
    <w:rsid w:val="00F805DC"/>
    <w:rsid w:val="00F83FF3"/>
    <w:rsid w:val="00F902FA"/>
    <w:rsid w:val="00F90381"/>
    <w:rsid w:val="00F910CE"/>
    <w:rsid w:val="00F943E8"/>
    <w:rsid w:val="00F95C3B"/>
    <w:rsid w:val="00F97805"/>
    <w:rsid w:val="00FA557D"/>
    <w:rsid w:val="00FB52B1"/>
    <w:rsid w:val="00FB7648"/>
    <w:rsid w:val="00FC3DC1"/>
    <w:rsid w:val="00FC7765"/>
    <w:rsid w:val="00FD02FB"/>
    <w:rsid w:val="00FD5DAF"/>
    <w:rsid w:val="00FE13E0"/>
    <w:rsid w:val="00FE1DCB"/>
    <w:rsid w:val="00FF60A3"/>
    <w:rsid w:val="064D7C86"/>
    <w:rsid w:val="178E1B22"/>
    <w:rsid w:val="19EF6D8C"/>
    <w:rsid w:val="1CA11760"/>
    <w:rsid w:val="47917353"/>
    <w:rsid w:val="4A4B79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Times New Roman" w:hAnsi="Times New Roman" w:eastAsia="仿宋_GB2312" w:cs="Times New Roman"/>
      <w:kern w:val="2"/>
      <w:sz w:val="32"/>
      <w:szCs w:val="24"/>
      <w:lang w:val="en-US" w:eastAsia="zh-CN" w:bidi="ar-SA"/>
    </w:rPr>
  </w:style>
  <w:style w:type="paragraph" w:styleId="3">
    <w:name w:val="heading 1"/>
    <w:basedOn w:val="1"/>
    <w:next w:val="1"/>
    <w:link w:val="24"/>
    <w:qFormat/>
    <w:uiPriority w:val="0"/>
    <w:pPr>
      <w:keepNext/>
      <w:keepLines/>
      <w:tabs>
        <w:tab w:val="left" w:pos="360"/>
      </w:tabs>
      <w:adjustRightInd w:val="0"/>
      <w:snapToGrid w:val="0"/>
      <w:textAlignment w:val="baseline"/>
      <w:outlineLvl w:val="0"/>
    </w:pPr>
    <w:rPr>
      <w:rFonts w:eastAsia="黑体"/>
      <w:kern w:val="44"/>
      <w:szCs w:val="20"/>
    </w:rPr>
  </w:style>
  <w:style w:type="paragraph" w:styleId="4">
    <w:name w:val="heading 2"/>
    <w:basedOn w:val="1"/>
    <w:next w:val="1"/>
    <w:link w:val="25"/>
    <w:qFormat/>
    <w:uiPriority w:val="0"/>
    <w:pPr>
      <w:adjustRightInd w:val="0"/>
      <w:snapToGrid w:val="0"/>
      <w:outlineLvl w:val="1"/>
    </w:pPr>
    <w:rPr>
      <w:rFonts w:ascii="宋体" w:hAnsi="宋体" w:eastAsia="楷体_GB2312" w:cs="宋体"/>
      <w:bCs/>
      <w:szCs w:val="28"/>
    </w:rPr>
  </w:style>
  <w:style w:type="paragraph" w:styleId="5">
    <w:name w:val="heading 3"/>
    <w:basedOn w:val="1"/>
    <w:next w:val="1"/>
    <w:link w:val="26"/>
    <w:qFormat/>
    <w:uiPriority w:val="0"/>
    <w:pPr>
      <w:adjustRightInd w:val="0"/>
      <w:snapToGrid w:val="0"/>
      <w:outlineLvl w:val="2"/>
    </w:pPr>
    <w:rPr>
      <w:rFonts w:ascii="宋体" w:hAnsi="宋体" w:cs="宋体"/>
      <w:bCs/>
      <w:szCs w:val="28"/>
    </w:rPr>
  </w:style>
  <w:style w:type="paragraph" w:styleId="6">
    <w:name w:val="heading 4"/>
    <w:basedOn w:val="1"/>
    <w:next w:val="1"/>
    <w:link w:val="27"/>
    <w:qFormat/>
    <w:uiPriority w:val="0"/>
    <w:pPr>
      <w:numPr>
        <w:ilvl w:val="3"/>
        <w:numId w:val="1"/>
      </w:numPr>
      <w:adjustRightInd w:val="0"/>
      <w:spacing w:before="120" w:line="360" w:lineRule="auto"/>
      <w:textAlignment w:val="baseline"/>
      <w:outlineLvl w:val="3"/>
    </w:pPr>
    <w:rPr>
      <w:rFonts w:ascii="Arial" w:hAnsi="Arial" w:eastAsia="黑体"/>
      <w:kern w:val="0"/>
      <w:sz w:val="28"/>
      <w:szCs w:val="20"/>
    </w:rPr>
  </w:style>
  <w:style w:type="character" w:default="1" w:styleId="16">
    <w:name w:val="Default Paragraph Font"/>
    <w:semiHidden/>
    <w:unhideWhenUsed/>
    <w:uiPriority w:val="1"/>
  </w:style>
  <w:style w:type="table" w:default="1" w:styleId="20">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link w:val="28"/>
    <w:unhideWhenUsed/>
    <w:qFormat/>
    <w:uiPriority w:val="99"/>
    <w:pPr>
      <w:spacing w:after="120"/>
    </w:pPr>
  </w:style>
  <w:style w:type="paragraph" w:styleId="7">
    <w:name w:val="annotation subject"/>
    <w:basedOn w:val="8"/>
    <w:next w:val="8"/>
    <w:link w:val="34"/>
    <w:semiHidden/>
    <w:unhideWhenUsed/>
    <w:qFormat/>
    <w:uiPriority w:val="99"/>
    <w:rPr>
      <w:b/>
      <w:bCs/>
    </w:rPr>
  </w:style>
  <w:style w:type="paragraph" w:styleId="8">
    <w:name w:val="annotation text"/>
    <w:basedOn w:val="1"/>
    <w:link w:val="33"/>
    <w:semiHidden/>
    <w:unhideWhenUsed/>
    <w:qFormat/>
    <w:uiPriority w:val="99"/>
    <w:pPr>
      <w:jc w:val="left"/>
    </w:pPr>
  </w:style>
  <w:style w:type="paragraph" w:styleId="9">
    <w:name w:val="toc 3"/>
    <w:basedOn w:val="1"/>
    <w:next w:val="1"/>
    <w:unhideWhenUsed/>
    <w:qFormat/>
    <w:uiPriority w:val="39"/>
    <w:pPr>
      <w:ind w:left="840" w:leftChars="400"/>
    </w:pPr>
  </w:style>
  <w:style w:type="paragraph" w:styleId="10">
    <w:name w:val="Balloon Text"/>
    <w:basedOn w:val="1"/>
    <w:link w:val="30"/>
    <w:semiHidden/>
    <w:unhideWhenUsed/>
    <w:qFormat/>
    <w:uiPriority w:val="99"/>
    <w:pPr>
      <w:spacing w:line="240" w:lineRule="auto"/>
    </w:pPr>
    <w:rPr>
      <w:sz w:val="18"/>
      <w:szCs w:val="18"/>
    </w:rPr>
  </w:style>
  <w:style w:type="paragraph" w:styleId="11">
    <w:name w:val="footer"/>
    <w:basedOn w:val="1"/>
    <w:link w:val="23"/>
    <w:unhideWhenUsed/>
    <w:qFormat/>
    <w:uiPriority w:val="99"/>
    <w:pPr>
      <w:tabs>
        <w:tab w:val="center" w:pos="4153"/>
        <w:tab w:val="right" w:pos="8306"/>
      </w:tabs>
      <w:snapToGrid w:val="0"/>
      <w:jc w:val="left"/>
    </w:pPr>
    <w:rPr>
      <w:sz w:val="18"/>
      <w:szCs w:val="18"/>
    </w:rPr>
  </w:style>
  <w:style w:type="paragraph" w:styleId="12">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toc 1"/>
    <w:basedOn w:val="1"/>
    <w:next w:val="1"/>
    <w:unhideWhenUsed/>
    <w:qFormat/>
    <w:uiPriority w:val="39"/>
    <w:pPr>
      <w:tabs>
        <w:tab w:val="right" w:leader="dot" w:pos="8296"/>
      </w:tabs>
      <w:ind w:firstLine="640"/>
    </w:pPr>
    <w:rPr>
      <w:rFonts w:ascii="黑体" w:hAnsi="黑体" w:eastAsia="黑体"/>
    </w:rPr>
  </w:style>
  <w:style w:type="paragraph" w:styleId="14">
    <w:name w:val="footnote text"/>
    <w:basedOn w:val="1"/>
    <w:link w:val="39"/>
    <w:unhideWhenUsed/>
    <w:qFormat/>
    <w:uiPriority w:val="99"/>
    <w:pPr>
      <w:snapToGrid w:val="0"/>
      <w:ind w:firstLine="0" w:firstLineChars="0"/>
      <w:jc w:val="left"/>
    </w:pPr>
    <w:rPr>
      <w:rFonts w:ascii="仿宋" w:eastAsia="仿宋"/>
      <w:kern w:val="30"/>
      <w:sz w:val="18"/>
      <w:szCs w:val="18"/>
    </w:rPr>
  </w:style>
  <w:style w:type="paragraph" w:styleId="15">
    <w:name w:val="toc 2"/>
    <w:basedOn w:val="1"/>
    <w:next w:val="1"/>
    <w:unhideWhenUsed/>
    <w:qFormat/>
    <w:uiPriority w:val="39"/>
    <w:pPr>
      <w:tabs>
        <w:tab w:val="right" w:leader="dot" w:pos="8296"/>
      </w:tabs>
      <w:ind w:left="640" w:leftChars="200" w:firstLine="640"/>
    </w:pPr>
    <w:rPr>
      <w:rFonts w:ascii="楷体_GB2312" w:eastAsia="楷体_GB2312"/>
    </w:rPr>
  </w:style>
  <w:style w:type="character" w:styleId="17">
    <w:name w:val="Hyperlink"/>
    <w:basedOn w:val="16"/>
    <w:unhideWhenUsed/>
    <w:qFormat/>
    <w:uiPriority w:val="99"/>
    <w:rPr>
      <w:color w:val="0563C1" w:themeColor="hyperlink"/>
      <w:u w:val="single"/>
      <w14:textFill>
        <w14:solidFill>
          <w14:schemeClr w14:val="hlink"/>
        </w14:solidFill>
      </w14:textFill>
    </w:rPr>
  </w:style>
  <w:style w:type="character" w:styleId="18">
    <w:name w:val="annotation reference"/>
    <w:basedOn w:val="16"/>
    <w:semiHidden/>
    <w:unhideWhenUsed/>
    <w:uiPriority w:val="99"/>
    <w:rPr>
      <w:sz w:val="21"/>
      <w:szCs w:val="21"/>
    </w:rPr>
  </w:style>
  <w:style w:type="character" w:styleId="19">
    <w:name w:val="footnote reference"/>
    <w:unhideWhenUsed/>
    <w:uiPriority w:val="99"/>
    <w:rPr>
      <w:vertAlign w:val="superscript"/>
    </w:rPr>
  </w:style>
  <w:style w:type="table" w:styleId="21">
    <w:name w:val="Table Grid"/>
    <w:basedOn w:val="2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2">
    <w:name w:val="页眉 字符"/>
    <w:basedOn w:val="16"/>
    <w:link w:val="12"/>
    <w:qFormat/>
    <w:uiPriority w:val="99"/>
    <w:rPr>
      <w:sz w:val="18"/>
      <w:szCs w:val="18"/>
    </w:rPr>
  </w:style>
  <w:style w:type="character" w:customStyle="1" w:styleId="23">
    <w:name w:val="页脚 字符"/>
    <w:basedOn w:val="16"/>
    <w:link w:val="11"/>
    <w:qFormat/>
    <w:uiPriority w:val="99"/>
    <w:rPr>
      <w:sz w:val="18"/>
      <w:szCs w:val="18"/>
    </w:rPr>
  </w:style>
  <w:style w:type="character" w:customStyle="1" w:styleId="24">
    <w:name w:val="标题 1 字符"/>
    <w:basedOn w:val="16"/>
    <w:link w:val="3"/>
    <w:qFormat/>
    <w:uiPriority w:val="0"/>
    <w:rPr>
      <w:rFonts w:ascii="Times New Roman" w:hAnsi="Times New Roman" w:eastAsia="黑体" w:cs="Times New Roman"/>
      <w:kern w:val="44"/>
      <w:sz w:val="32"/>
      <w:szCs w:val="20"/>
    </w:rPr>
  </w:style>
  <w:style w:type="character" w:customStyle="1" w:styleId="25">
    <w:name w:val="标题 2 字符"/>
    <w:basedOn w:val="16"/>
    <w:link w:val="4"/>
    <w:qFormat/>
    <w:uiPriority w:val="0"/>
    <w:rPr>
      <w:rFonts w:ascii="宋体" w:hAnsi="宋体" w:eastAsia="楷体_GB2312" w:cs="宋体"/>
      <w:bCs/>
      <w:sz w:val="32"/>
      <w:szCs w:val="28"/>
    </w:rPr>
  </w:style>
  <w:style w:type="character" w:customStyle="1" w:styleId="26">
    <w:name w:val="标题 3 字符"/>
    <w:basedOn w:val="16"/>
    <w:link w:val="5"/>
    <w:qFormat/>
    <w:uiPriority w:val="0"/>
    <w:rPr>
      <w:rFonts w:ascii="宋体" w:hAnsi="宋体" w:eastAsia="仿宋_GB2312" w:cs="宋体"/>
      <w:bCs/>
      <w:sz w:val="32"/>
      <w:szCs w:val="28"/>
    </w:rPr>
  </w:style>
  <w:style w:type="character" w:customStyle="1" w:styleId="27">
    <w:name w:val="标题 4 字符"/>
    <w:basedOn w:val="16"/>
    <w:link w:val="6"/>
    <w:qFormat/>
    <w:uiPriority w:val="0"/>
    <w:rPr>
      <w:rFonts w:ascii="Arial" w:hAnsi="Arial" w:eastAsia="黑体" w:cs="Times New Roman"/>
      <w:kern w:val="0"/>
      <w:sz w:val="28"/>
      <w:szCs w:val="20"/>
    </w:rPr>
  </w:style>
  <w:style w:type="character" w:customStyle="1" w:styleId="28">
    <w:name w:val="正文文本 字符"/>
    <w:basedOn w:val="16"/>
    <w:link w:val="2"/>
    <w:qFormat/>
    <w:uiPriority w:val="99"/>
    <w:rPr>
      <w:rFonts w:ascii="Times New Roman" w:hAnsi="Times New Roman" w:eastAsia="宋体" w:cs="Times New Roman"/>
      <w:szCs w:val="24"/>
    </w:rPr>
  </w:style>
  <w:style w:type="paragraph" w:styleId="29">
    <w:name w:val="List Paragraph"/>
    <w:basedOn w:val="1"/>
    <w:qFormat/>
    <w:uiPriority w:val="34"/>
    <w:pPr>
      <w:ind w:firstLine="420"/>
    </w:pPr>
  </w:style>
  <w:style w:type="character" w:customStyle="1" w:styleId="30">
    <w:name w:val="批注框文本 字符"/>
    <w:basedOn w:val="16"/>
    <w:link w:val="10"/>
    <w:semiHidden/>
    <w:qFormat/>
    <w:uiPriority w:val="99"/>
    <w:rPr>
      <w:rFonts w:ascii="Times New Roman" w:hAnsi="Times New Roman" w:eastAsia="宋体" w:cs="Times New Roman"/>
      <w:sz w:val="18"/>
      <w:szCs w:val="18"/>
    </w:rPr>
  </w:style>
  <w:style w:type="character" w:customStyle="1" w:styleId="31">
    <w:name w:val="未处理的提及1"/>
    <w:basedOn w:val="16"/>
    <w:semiHidden/>
    <w:unhideWhenUsed/>
    <w:qFormat/>
    <w:uiPriority w:val="99"/>
    <w:rPr>
      <w:color w:val="605E5C"/>
      <w:shd w:val="clear" w:color="auto" w:fill="E1DFDD"/>
    </w:rPr>
  </w:style>
  <w:style w:type="table" w:customStyle="1" w:styleId="32">
    <w:name w:val="网格型1"/>
    <w:basedOn w:val="2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33">
    <w:name w:val="批注文字 字符"/>
    <w:basedOn w:val="16"/>
    <w:link w:val="8"/>
    <w:semiHidden/>
    <w:qFormat/>
    <w:uiPriority w:val="99"/>
    <w:rPr>
      <w:rFonts w:ascii="Times New Roman" w:hAnsi="Times New Roman" w:eastAsia="仿宋_GB2312" w:cs="Times New Roman"/>
      <w:sz w:val="32"/>
      <w:szCs w:val="24"/>
    </w:rPr>
  </w:style>
  <w:style w:type="character" w:customStyle="1" w:styleId="34">
    <w:name w:val="批注主题 字符"/>
    <w:basedOn w:val="33"/>
    <w:link w:val="7"/>
    <w:semiHidden/>
    <w:qFormat/>
    <w:uiPriority w:val="99"/>
    <w:rPr>
      <w:rFonts w:ascii="Times New Roman" w:hAnsi="Times New Roman" w:eastAsia="仿宋_GB2312" w:cs="Times New Roman"/>
      <w:b/>
      <w:bCs/>
      <w:sz w:val="32"/>
      <w:szCs w:val="24"/>
    </w:rPr>
  </w:style>
  <w:style w:type="paragraph" w:customStyle="1" w:styleId="35">
    <w:name w:val="修订1"/>
    <w:hidden/>
    <w:semiHidden/>
    <w:qFormat/>
    <w:uiPriority w:val="99"/>
    <w:rPr>
      <w:rFonts w:ascii="Times New Roman" w:hAnsi="Times New Roman" w:eastAsia="仿宋_GB2312" w:cs="Times New Roman"/>
      <w:kern w:val="2"/>
      <w:sz w:val="32"/>
      <w:szCs w:val="24"/>
      <w:lang w:val="en-US" w:eastAsia="zh-CN" w:bidi="ar-SA"/>
    </w:rPr>
  </w:style>
  <w:style w:type="table" w:customStyle="1" w:styleId="36">
    <w:name w:val="网格型2"/>
    <w:basedOn w:val="20"/>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37">
    <w:name w:val="TOC 标题1"/>
    <w:basedOn w:val="3"/>
    <w:next w:val="1"/>
    <w:unhideWhenUsed/>
    <w:qFormat/>
    <w:uiPriority w:val="39"/>
    <w:pPr>
      <w:widowControl/>
      <w:tabs>
        <w:tab w:val="clear" w:pos="360"/>
      </w:tabs>
      <w:adjustRightInd/>
      <w:snapToGrid/>
      <w:spacing w:before="240" w:line="259" w:lineRule="auto"/>
      <w:ind w:firstLine="0" w:firstLineChars="0"/>
      <w:jc w:val="left"/>
      <w:textAlignment w:val="auto"/>
      <w:outlineLvl w:val="9"/>
    </w:pPr>
    <w:rPr>
      <w:rFonts w:asciiTheme="majorHAnsi" w:hAnsiTheme="majorHAnsi" w:eastAsiaTheme="majorEastAsia" w:cstheme="majorBidi"/>
      <w:color w:val="2F5597" w:themeColor="accent1" w:themeShade="BF"/>
      <w:kern w:val="0"/>
      <w:szCs w:val="32"/>
    </w:rPr>
  </w:style>
  <w:style w:type="paragraph" w:customStyle="1" w:styleId="38">
    <w:name w:val="TOC 标题11"/>
    <w:basedOn w:val="3"/>
    <w:next w:val="1"/>
    <w:unhideWhenUsed/>
    <w:qFormat/>
    <w:uiPriority w:val="39"/>
    <w:pPr>
      <w:widowControl/>
      <w:tabs>
        <w:tab w:val="clear" w:pos="360"/>
      </w:tabs>
      <w:adjustRightInd/>
      <w:snapToGrid/>
      <w:spacing w:before="240" w:line="259" w:lineRule="auto"/>
      <w:ind w:firstLine="0" w:firstLineChars="0"/>
      <w:jc w:val="left"/>
      <w:textAlignment w:val="auto"/>
      <w:outlineLvl w:val="9"/>
    </w:pPr>
    <w:rPr>
      <w:rFonts w:asciiTheme="majorHAnsi" w:hAnsiTheme="majorHAnsi" w:eastAsiaTheme="majorEastAsia" w:cstheme="majorBidi"/>
      <w:color w:val="2F5597" w:themeColor="accent1" w:themeShade="BF"/>
      <w:kern w:val="0"/>
      <w:szCs w:val="32"/>
    </w:rPr>
  </w:style>
  <w:style w:type="character" w:customStyle="1" w:styleId="39">
    <w:name w:val="脚注文本 字符"/>
    <w:basedOn w:val="16"/>
    <w:link w:val="14"/>
    <w:qFormat/>
    <w:uiPriority w:val="99"/>
    <w:rPr>
      <w:rFonts w:ascii="仿宋" w:hAnsi="Times New Roman" w:eastAsia="仿宋" w:cs="Times New Roman"/>
      <w:kern w:val="30"/>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D20702-DBD0-4229-BA4F-62DC82B176EB}">
  <ds:schemaRefs/>
</ds:datastoreItem>
</file>

<file path=docProps/app.xml><?xml version="1.0" encoding="utf-8"?>
<Properties xmlns="http://schemas.openxmlformats.org/officeDocument/2006/extended-properties" xmlns:vt="http://schemas.openxmlformats.org/officeDocument/2006/docPropsVTypes">
  <Template>Normal</Template>
  <Pages>29</Pages>
  <Words>2546</Words>
  <Characters>14515</Characters>
  <Lines>120</Lines>
  <Paragraphs>34</Paragraphs>
  <TotalTime>198</TotalTime>
  <ScaleCrop>false</ScaleCrop>
  <LinksUpToDate>false</LinksUpToDate>
  <CharactersWithSpaces>17027</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2023-05-22T15:20:00Z</dcterms:created>
  <dc:creator>yue wang</dc:creator>
  <cp:lastModifiedBy>紫夜</cp:lastModifiedBy>
  <cp:lastPrinted>2023-05-06T06:46:00Z</cp:lastPrinted>
  <dcterms:modified xsi:type="dcterms:W3CDTF">2023-05-23T06:40:46Z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