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北京怀柔科学城管理委员会</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部门整体绩效评价报告</w:t>
      </w:r>
    </w:p>
    <w:p>
      <w:pPr>
        <w:widowControl/>
        <w:spacing w:line="560" w:lineRule="exact"/>
        <w:ind w:firstLine="640" w:firstLineChars="200"/>
        <w:jc w:val="left"/>
        <w:rPr>
          <w:rFonts w:hint="eastAsia" w:ascii="仿宋_GB2312" w:eastAsia="仿宋_GB2312"/>
          <w:sz w:val="32"/>
          <w:szCs w:val="32"/>
        </w:rPr>
      </w:pPr>
    </w:p>
    <w:p>
      <w:pPr>
        <w:widowControl/>
        <w:spacing w:line="560" w:lineRule="exact"/>
        <w:ind w:firstLine="640" w:firstLineChars="200"/>
        <w:jc w:val="left"/>
        <w:rPr>
          <w:rFonts w:ascii="仿宋_GB2312"/>
          <w:szCs w:val="30"/>
        </w:rPr>
      </w:pPr>
      <w:r>
        <w:rPr>
          <w:rFonts w:hint="eastAsia" w:ascii="仿宋_GB2312" w:eastAsia="仿宋_GB2312"/>
          <w:sz w:val="32"/>
          <w:szCs w:val="32"/>
        </w:rPr>
        <w:t>按照</w:t>
      </w:r>
      <w:r>
        <w:rPr>
          <w:rFonts w:hint="eastAsia" w:ascii="仿宋_GB2312" w:eastAsia="仿宋_GB2312"/>
          <w:sz w:val="32"/>
          <w:szCs w:val="32"/>
          <w:lang w:eastAsia="zh-CN"/>
        </w:rPr>
        <w:t>北京市财政</w:t>
      </w:r>
      <w:r>
        <w:rPr>
          <w:rFonts w:hint="eastAsia" w:ascii="仿宋_GB2312" w:eastAsia="仿宋_GB2312"/>
          <w:sz w:val="32"/>
          <w:szCs w:val="32"/>
          <w:highlight w:val="none"/>
          <w:lang w:eastAsia="zh-CN"/>
        </w:rPr>
        <w:t>局</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关于开展</w:t>
      </w:r>
      <w:r>
        <w:rPr>
          <w:rFonts w:hint="eastAsia" w:ascii="仿宋_GB2312" w:eastAsia="仿宋_GB2312"/>
          <w:sz w:val="32"/>
          <w:szCs w:val="32"/>
          <w:highlight w:val="none"/>
          <w:lang w:val="en-US" w:eastAsia="zh-CN"/>
        </w:rPr>
        <w:t>2024年预算绩效管理相关工作的函</w:t>
      </w:r>
      <w:r>
        <w:rPr>
          <w:rFonts w:hint="eastAsia" w:ascii="仿宋_GB2312" w:eastAsia="仿宋_GB2312"/>
          <w:sz w:val="32"/>
          <w:szCs w:val="32"/>
          <w:highlight w:val="none"/>
        </w:rPr>
        <w:t>》的要求，北京</w:t>
      </w:r>
      <w:r>
        <w:rPr>
          <w:rFonts w:hint="eastAsia" w:ascii="仿宋_GB2312" w:eastAsia="仿宋_GB2312"/>
          <w:sz w:val="32"/>
          <w:szCs w:val="32"/>
          <w:highlight w:val="none"/>
          <w:lang w:eastAsia="zh-CN"/>
        </w:rPr>
        <w:t>怀柔科</w:t>
      </w:r>
      <w:r>
        <w:rPr>
          <w:rFonts w:hint="eastAsia" w:ascii="仿宋_GB2312" w:eastAsia="仿宋_GB2312"/>
          <w:sz w:val="32"/>
          <w:szCs w:val="32"/>
          <w:lang w:eastAsia="zh-CN"/>
        </w:rPr>
        <w:t>学城管委会</w:t>
      </w:r>
      <w:r>
        <w:rPr>
          <w:rFonts w:hint="eastAsia" w:ascii="仿宋_GB2312" w:eastAsia="仿宋_GB2312"/>
          <w:sz w:val="32"/>
          <w:szCs w:val="32"/>
        </w:rPr>
        <w:t>（以下简称“</w:t>
      </w:r>
      <w:r>
        <w:rPr>
          <w:rFonts w:hint="eastAsia" w:ascii="仿宋_GB2312" w:eastAsia="仿宋_GB2312"/>
          <w:sz w:val="32"/>
          <w:szCs w:val="32"/>
          <w:lang w:eastAsia="zh-CN"/>
        </w:rPr>
        <w:t>科学城管委会</w:t>
      </w:r>
      <w:r>
        <w:rPr>
          <w:rFonts w:hint="eastAsia" w:ascii="仿宋_GB2312" w:eastAsia="仿宋_GB2312"/>
          <w:sz w:val="32"/>
          <w:szCs w:val="32"/>
        </w:rPr>
        <w:t>”）认真组织开展预算绩效管理评价工作，深入分析项目绩效的实现情况，查找偏差原因，提高财政资金使用效益，具体报告如下：</w:t>
      </w: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根据京编委〔2017〕50号文件、京编办行〔2019〕170号文件规定，设立北京怀柔科学城管理委员会，部门性质为市政府派出机构。主要职责是：</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1.组织编制怀柔科学城建设和发展的各项规划，按程序报批后组织实施。</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2.贯彻落实国家及本市有关改革要求，研究提出促进怀柔科学城创新发展的政策措施。</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3.根据授权负责怀柔科学城范围内经济发展、项目建设、投融资服务、人才资源等领域的管理工作。</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4.培育和发展科技服务业和高精尖产业，服务保障项目落地。</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5.推进怀柔科学城管理和服务体制机制创新，优化营商环境，强化服务功能，促进央地合作、军民融合发展。</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6.协调解决怀柔科学城规划建设中的重点难点问题。</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7.按权限协调开展应急管理、安全生产、综治维稳、环境保护等工作。</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8.对所出资企业履行国有资产出资人职责。</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9.根据授权在怀柔科学城规划范围内行使有关市级管理权限。</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10.完成市政府交办的其他事项。</w:t>
      </w:r>
    </w:p>
    <w:p>
      <w:pPr>
        <w:spacing w:line="600" w:lineRule="exact"/>
        <w:ind w:firstLine="640" w:firstLineChars="200"/>
        <w:rPr>
          <w:rFonts w:hint="eastAsia" w:ascii="楷体_GB2312" w:eastAsia="楷体_GB2312"/>
          <w:sz w:val="32"/>
          <w:szCs w:val="32"/>
        </w:rPr>
      </w:pPr>
      <w:r>
        <w:rPr>
          <w:rFonts w:hint="eastAsia" w:ascii="仿宋_GB2312" w:hAnsi="宋体" w:eastAsia="仿宋_GB2312" w:cs="宋体"/>
          <w:color w:val="000000"/>
          <w:kern w:val="0"/>
          <w:sz w:val="32"/>
          <w:szCs w:val="32"/>
          <w:highlight w:val="none"/>
        </w:rPr>
        <w:t>根据京编办复〔2022〕129号文件规定，怀柔科学城党工委、管委会内设8个处室，分别为：办公室、发展改革与政策研究处、规划建设处、设施平台处、成果转化与创新协调处、交流合作与人才工作处、财经管理处、机关党委（组织人事处）。</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部门积极贯彻和落实国家和北京市重大战略部署，聚焦建设北京怀柔综合性国家科学中心“十四五”时期的工作目标和重点任务，进一步攻坚突破，推动怀柔科学城各项工作取得新进展</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整体绩效指标根据市委、市政府安排重点工作、部门全年任务清单、结合内设机构职责分工共设置</w:t>
      </w:r>
      <w:r>
        <w:rPr>
          <w:rFonts w:hint="eastAsia" w:ascii="仿宋_GB2312" w:hAnsi="宋体" w:eastAsia="仿宋_GB2312" w:cs="宋体"/>
          <w:color w:val="000000"/>
          <w:kern w:val="0"/>
          <w:sz w:val="32"/>
          <w:szCs w:val="32"/>
          <w:highlight w:val="none"/>
          <w:lang w:eastAsia="zh-CN"/>
        </w:rPr>
        <w:t>总体任务三大项，</w:t>
      </w:r>
      <w:r>
        <w:rPr>
          <w:rFonts w:hint="eastAsia" w:ascii="仿宋_GB2312" w:hAnsi="宋体" w:eastAsia="仿宋_GB2312" w:cs="宋体"/>
          <w:color w:val="000000"/>
          <w:kern w:val="0"/>
          <w:sz w:val="32"/>
          <w:szCs w:val="32"/>
          <w:highlight w:val="none"/>
          <w:lang w:val="en-US" w:eastAsia="zh-CN"/>
        </w:rPr>
        <w:t>细分</w:t>
      </w:r>
      <w:r>
        <w:rPr>
          <w:rFonts w:hint="eastAsia" w:ascii="仿宋_GB2312" w:hAnsi="宋体" w:eastAsia="仿宋_GB2312" w:cs="宋体"/>
          <w:color w:val="000000"/>
          <w:kern w:val="0"/>
          <w:sz w:val="32"/>
          <w:szCs w:val="32"/>
          <w:highlight w:val="none"/>
        </w:rPr>
        <w:t>绩效目标</w:t>
      </w:r>
      <w:r>
        <w:rPr>
          <w:rFonts w:hint="eastAsia" w:ascii="仿宋_GB2312" w:hAnsi="宋体" w:eastAsia="仿宋_GB2312" w:cs="宋体"/>
          <w:color w:val="000000"/>
          <w:kern w:val="0"/>
          <w:sz w:val="32"/>
          <w:szCs w:val="32"/>
          <w:highlight w:val="none"/>
          <w:lang w:val="en-US" w:eastAsia="zh-CN"/>
        </w:rPr>
        <w:t>14项</w:t>
      </w:r>
      <w:r>
        <w:rPr>
          <w:rFonts w:hint="eastAsia" w:ascii="仿宋_GB2312" w:hAnsi="宋体" w:eastAsia="仿宋_GB2312" w:cs="宋体"/>
          <w:color w:val="000000"/>
          <w:kern w:val="0"/>
          <w:sz w:val="32"/>
          <w:szCs w:val="32"/>
          <w:highlight w:val="none"/>
        </w:rPr>
        <w:t>，涉及开发建设管理、设施平台服务保障、科技成果转化、产业发展服务</w:t>
      </w:r>
      <w:r>
        <w:rPr>
          <w:rFonts w:hint="eastAsia" w:ascii="仿宋_GB2312" w:hAnsi="宋体" w:eastAsia="仿宋_GB2312" w:cs="宋体"/>
          <w:color w:val="000000"/>
          <w:kern w:val="0"/>
          <w:sz w:val="32"/>
          <w:szCs w:val="32"/>
          <w:highlight w:val="none"/>
          <w:lang w:eastAsia="zh-CN"/>
        </w:rPr>
        <w:t>、政策研究</w:t>
      </w:r>
      <w:r>
        <w:rPr>
          <w:rFonts w:hint="eastAsia" w:ascii="仿宋_GB2312" w:hAnsi="宋体" w:eastAsia="仿宋_GB2312" w:cs="宋体"/>
          <w:color w:val="000000"/>
          <w:kern w:val="0"/>
          <w:sz w:val="32"/>
          <w:szCs w:val="32"/>
          <w:highlight w:val="none"/>
        </w:rPr>
        <w:t>等</w:t>
      </w:r>
      <w:r>
        <w:rPr>
          <w:rFonts w:hint="eastAsia" w:ascii="仿宋_GB2312" w:hAnsi="宋体" w:eastAsia="仿宋_GB2312" w:cs="宋体"/>
          <w:color w:val="000000"/>
          <w:kern w:val="0"/>
          <w:sz w:val="32"/>
          <w:szCs w:val="32"/>
          <w:highlight w:val="none"/>
          <w:lang w:eastAsia="zh-CN"/>
        </w:rPr>
        <w:t>部门职责活动</w:t>
      </w:r>
      <w:r>
        <w:rPr>
          <w:rFonts w:hint="eastAsia" w:ascii="仿宋_GB2312" w:hAnsi="宋体" w:eastAsia="仿宋_GB2312" w:cs="宋体"/>
          <w:color w:val="000000"/>
          <w:kern w:val="0"/>
          <w:sz w:val="32"/>
          <w:szCs w:val="32"/>
          <w:highlight w:val="none"/>
        </w:rPr>
        <w:t>。具体如下：</w:t>
      </w:r>
    </w:p>
    <w:p>
      <w:pPr>
        <w:spacing w:line="600" w:lineRule="exact"/>
        <w:ind w:firstLine="642"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b/>
          <w:bCs/>
          <w:color w:val="000000"/>
          <w:kern w:val="0"/>
          <w:sz w:val="32"/>
          <w:szCs w:val="32"/>
          <w:highlight w:val="none"/>
        </w:rPr>
        <w:t>一是</w:t>
      </w:r>
      <w:r>
        <w:rPr>
          <w:rFonts w:hint="eastAsia" w:ascii="仿宋_GB2312" w:hAnsi="宋体" w:eastAsia="仿宋_GB2312" w:cs="宋体"/>
          <w:color w:val="000000"/>
          <w:kern w:val="0"/>
          <w:sz w:val="32"/>
          <w:szCs w:val="32"/>
          <w:highlight w:val="none"/>
        </w:rPr>
        <w:t>加快推动构建科学城城市框架体系。推进科学城控规批复和落地实施，推动城市建设和更新各项工作，逐步完善市政和公共服务基础设施，提升综合保障服务水平。</w:t>
      </w:r>
      <w:r>
        <w:rPr>
          <w:rFonts w:hint="eastAsia" w:ascii="仿宋_GB2312" w:hAnsi="宋体" w:eastAsia="仿宋_GB2312" w:cs="宋体"/>
          <w:b/>
          <w:bCs/>
          <w:color w:val="000000"/>
          <w:kern w:val="0"/>
          <w:sz w:val="32"/>
          <w:szCs w:val="32"/>
          <w:highlight w:val="none"/>
        </w:rPr>
        <w:t>二是</w:t>
      </w:r>
      <w:r>
        <w:rPr>
          <w:rFonts w:hint="eastAsia" w:ascii="仿宋_GB2312" w:hAnsi="宋体" w:eastAsia="仿宋_GB2312" w:cs="宋体"/>
          <w:color w:val="000000"/>
          <w:kern w:val="0"/>
          <w:sz w:val="32"/>
          <w:szCs w:val="32"/>
          <w:highlight w:val="none"/>
        </w:rPr>
        <w:t>推动国家战略科技力量加快布局建设。推进怀柔实验室建设，做好保障服务；推动“十三五”布局的科学装置、科教基础设施和交叉研究平台从建设逐步转入运营状态，加快布局“十四五”科学设施。</w:t>
      </w:r>
      <w:r>
        <w:rPr>
          <w:rFonts w:hint="eastAsia" w:ascii="仿宋_GB2312" w:hAnsi="宋体" w:eastAsia="仿宋_GB2312" w:cs="宋体"/>
          <w:b/>
          <w:bCs/>
          <w:color w:val="000000"/>
          <w:kern w:val="0"/>
          <w:sz w:val="32"/>
          <w:szCs w:val="32"/>
          <w:highlight w:val="none"/>
        </w:rPr>
        <w:t>三是</w:t>
      </w:r>
      <w:r>
        <w:rPr>
          <w:rFonts w:hint="eastAsia" w:ascii="仿宋_GB2312" w:hAnsi="宋体" w:eastAsia="仿宋_GB2312" w:cs="宋体"/>
          <w:color w:val="000000"/>
          <w:kern w:val="0"/>
          <w:sz w:val="32"/>
          <w:szCs w:val="32"/>
          <w:highlight w:val="none"/>
        </w:rPr>
        <w:t>着力构建科技创新生态体系。加快科技人才队伍培养和聚集，推动科学设施开放共享；加快培育高精尖产业业态，促进科技成果产出和转化工作；加强宣传推广，促进科技交流活动，打造怀柔科学城品牌。</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hint="eastAsia" w:ascii="仿宋_GB2312" w:hAnsi="宋体" w:eastAsia="仿宋_GB2312" w:cs="宋体"/>
          <w:color w:val="000000"/>
          <w:kern w:val="0"/>
          <w:sz w:val="32"/>
          <w:szCs w:val="32"/>
          <w:highlight w:val="none"/>
          <w:lang w:eastAsia="zh-CN"/>
        </w:rPr>
        <w:t>科学城管委会</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预算数78</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714</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w:t>
      </w:r>
      <w:r>
        <w:rPr>
          <w:rFonts w:hint="eastAsia" w:ascii="仿宋_GB2312" w:hAnsi="宋体" w:eastAsia="仿宋_GB2312" w:cs="宋体"/>
          <w:color w:val="000000"/>
          <w:kern w:val="0"/>
          <w:sz w:val="32"/>
          <w:szCs w:val="32"/>
          <w:highlight w:val="none"/>
          <w:lang w:val="en-US" w:eastAsia="zh-CN"/>
        </w:rPr>
        <w:t>7</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754.39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项目支出预算数77,960.2</w:t>
      </w:r>
      <w:r>
        <w:rPr>
          <w:rFonts w:hint="eastAsia" w:ascii="仿宋_GB2312" w:hAnsi="宋体" w:eastAsia="仿宋_GB2312" w:cs="宋体"/>
          <w:color w:val="000000"/>
          <w:kern w:val="0"/>
          <w:sz w:val="32"/>
          <w:szCs w:val="32"/>
          <w:highlight w:val="none"/>
          <w:lang w:val="en-US" w:eastAsia="zh-CN"/>
        </w:rPr>
        <w:t>8</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0.00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支出78,132.76</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721.90</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支出77,410.8</w:t>
      </w:r>
      <w:r>
        <w:rPr>
          <w:rFonts w:hint="eastAsia" w:ascii="仿宋_GB2312" w:hAnsi="宋体" w:eastAsia="仿宋_GB2312" w:cs="宋体"/>
          <w:color w:val="000000"/>
          <w:kern w:val="0"/>
          <w:sz w:val="32"/>
          <w:szCs w:val="32"/>
          <w:highlight w:val="none"/>
          <w:lang w:val="en-US" w:eastAsia="zh-CN"/>
        </w:rPr>
        <w:t>6</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lang w:val="en-US" w:eastAsia="zh-CN"/>
        </w:rPr>
        <w:t>0.00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99.26%</w:t>
      </w:r>
      <w:r>
        <w:rPr>
          <w:rFonts w:hint="eastAsia" w:ascii="仿宋_GB2312" w:hAnsi="宋体" w:eastAsia="仿宋_GB2312" w:cs="宋体"/>
          <w:color w:val="000000"/>
          <w:kern w:val="0"/>
          <w:sz w:val="32"/>
          <w:szCs w:val="32"/>
          <w:highlight w:val="none"/>
        </w:rPr>
        <w:t>。</w:t>
      </w:r>
    </w:p>
    <w:p>
      <w:pPr>
        <w:numPr>
          <w:ilvl w:val="0"/>
          <w:numId w:val="1"/>
        </w:numPr>
        <w:spacing w:line="600" w:lineRule="exact"/>
        <w:ind w:left="105" w:leftChars="50" w:firstLine="480" w:firstLineChars="150"/>
        <w:rPr>
          <w:rFonts w:ascii="黑体" w:hAnsi="黑体" w:eastAsia="黑体" w:cs="宋体"/>
          <w:color w:val="000000"/>
          <w:kern w:val="0"/>
          <w:sz w:val="32"/>
          <w:szCs w:val="32"/>
          <w:highlight w:val="none"/>
        </w:rPr>
      </w:pPr>
      <w:r>
        <w:rPr>
          <w:rFonts w:ascii="黑体" w:hAnsi="黑体" w:eastAsia="黑体" w:cs="宋体"/>
          <w:color w:val="000000"/>
          <w:kern w:val="0"/>
          <w:sz w:val="32"/>
          <w:szCs w:val="32"/>
          <w:highlight w:val="none"/>
        </w:rPr>
        <w:t>整体绩效目标实现情况</w:t>
      </w:r>
    </w:p>
    <w:p>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default" w:ascii="仿宋_GB2312" w:hAnsi="宋体" w:eastAsia="仿宋_GB2312" w:cs="宋体"/>
          <w:color w:val="000000"/>
          <w:kern w:val="0"/>
          <w:sz w:val="32"/>
          <w:szCs w:val="32"/>
          <w:highlight w:val="none"/>
        </w:rPr>
        <w:t>科学城管委会坚持以习近平新时代中国特色社会主义思想为指导，全面贯彻党的二十大和二十届二中全会精神，深入落实市委、市政府重要指示要求，在区委、区政府的坚强领导下，深化部市共建、院市合作，加强对重点任务和项目的统筹调度，持续推进北京怀柔综合性国家科学中心高质量发展,战略科技力量厚积成势，国际开放创新生态活力凸显，“科学+城”城市功能不断完善。</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widowControl/>
        <w:spacing w:line="240" w:lineRule="auto"/>
        <w:ind w:firstLine="640" w:firstLineChars="200"/>
        <w:jc w:val="left"/>
        <w:rPr>
          <w:rFonts w:hint="eastAsia" w:ascii="仿宋_GB2312" w:hAnsi="宋体" w:eastAsia="仿宋_GB2312" w:cs="宋体"/>
          <w:color w:val="000000"/>
          <w:kern w:val="0"/>
          <w:sz w:val="32"/>
          <w:szCs w:val="32"/>
          <w:highlight w:val="none"/>
          <w:lang w:eastAsia="zh-CN"/>
        </w:rPr>
      </w:pPr>
      <w:r>
        <w:rPr>
          <w:rFonts w:hint="eastAsia" w:ascii="仿宋_GB2312" w:hAnsi="仿宋_GB2312" w:eastAsia="仿宋_GB2312" w:cs="仿宋_GB2312"/>
          <w:sz w:val="32"/>
          <w:szCs w:val="32"/>
          <w:lang w:eastAsia="zh-CN"/>
        </w:rPr>
        <w:t>本年度项目</w:t>
      </w:r>
      <w:r>
        <w:rPr>
          <w:rFonts w:hint="eastAsia" w:ascii="仿宋_GB2312" w:hAnsi="仿宋_GB2312" w:eastAsia="仿宋_GB2312" w:cs="仿宋_GB2312"/>
          <w:sz w:val="32"/>
          <w:szCs w:val="32"/>
        </w:rPr>
        <w:t>资金支出</w:t>
      </w:r>
      <w:bookmarkStart w:id="1" w:name="_GoBack"/>
      <w:bookmarkEnd w:id="1"/>
      <w:r>
        <w:rPr>
          <w:rFonts w:hint="eastAsia" w:ascii="仿宋_GB2312" w:hAnsi="仿宋_GB2312" w:eastAsia="仿宋_GB2312" w:cs="仿宋_GB2312"/>
          <w:sz w:val="32"/>
          <w:szCs w:val="32"/>
        </w:rPr>
        <w:t>范围主要</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i w:val="0"/>
          <w:iCs w:val="0"/>
          <w:caps w:val="0"/>
          <w:spacing w:val="0"/>
          <w:kern w:val="2"/>
          <w:sz w:val="32"/>
          <w:szCs w:val="32"/>
          <w:shd w:val="clear"/>
          <w:lang w:val="en-US" w:eastAsia="zh-CN" w:bidi="ar"/>
        </w:rPr>
        <w:t>交叉研究平台运行经费补助、控规实施运行维护工作、怀柔科学城推广宣传项目等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切实保障科学城规划实施、产业发展、特色党建、国际合作交流等重点项目。重点产出如下：</w:t>
      </w:r>
    </w:p>
    <w:p>
      <w:pPr>
        <w:spacing w:line="600" w:lineRule="exact"/>
        <w:ind w:firstLine="640" w:firstLineChars="200"/>
        <w:rPr>
          <w:rFonts w:hint="default"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lang w:eastAsia="zh-CN"/>
        </w:rPr>
        <w:t>推动怀柔科学城控规取得市政府批复，</w:t>
      </w:r>
      <w:r>
        <w:rPr>
          <w:rFonts w:hint="eastAsia" w:ascii="仿宋_GB2312" w:hAnsi="宋体" w:eastAsia="仿宋_GB2312" w:cs="宋体"/>
          <w:color w:val="000000"/>
          <w:kern w:val="0"/>
          <w:sz w:val="32"/>
          <w:szCs w:val="32"/>
          <w:highlight w:val="none"/>
          <w:lang w:val="en-US" w:eastAsia="zh-CN"/>
        </w:rPr>
        <w:t>新版地名规划正式印发，有效解决地名“卡点”问题；完成怀柔科学城规划、“十四五”北京怀柔综合性国家科学中心发展规划的指标、政策、任务和项目评估工作，形成“十四五”时期北京怀柔综合性国家科学中心发展规划中期评估报告1篇；</w:t>
      </w:r>
      <w:r>
        <w:rPr>
          <w:rFonts w:hint="eastAsia" w:ascii="仿宋_GB2312" w:hAnsi="宋体" w:eastAsia="仿宋_GB2312" w:cs="宋体"/>
          <w:color w:val="000000"/>
          <w:kern w:val="0"/>
          <w:sz w:val="32"/>
          <w:szCs w:val="32"/>
          <w:highlight w:val="none"/>
          <w:shd w:val="clear" w:color="auto" w:fill="auto"/>
          <w:lang w:val="en-US" w:eastAsia="zh-CN"/>
        </w:rPr>
        <w:t>持续推进科技设施平台项目建设，保障“十三五”科学设施平台逐步进入高效运行新阶段；推进16个科学设施平台项目进入试运行状态；推动“十四五”时期重大项目布局落地共8项；通过主办、联合等方式开办大会10余场，聚焦科技成果转化；通过协调院企对接、招商引资等各种形式促成10余项科技成果转化项目落地；积极推动3项孵化器科技成果转化；</w:t>
      </w:r>
    </w:p>
    <w:p>
      <w:pPr>
        <w:numPr>
          <w:ilvl w:val="0"/>
          <w:numId w:val="0"/>
        </w:numPr>
        <w:spacing w:line="600" w:lineRule="exact"/>
        <w:ind w:firstLine="0" w:firstLineChars="0"/>
        <w:rPr>
          <w:rFonts w:hint="default" w:ascii="仿宋_GB2312" w:hAnsi="宋体" w:eastAsia="仿宋_GB2312" w:cs="宋体"/>
          <w:color w:val="000000"/>
          <w:kern w:val="0"/>
          <w:sz w:val="32"/>
          <w:szCs w:val="32"/>
          <w:highlight w:val="none"/>
          <w:shd w:val="clear" w:color="auto" w:fill="auto"/>
          <w:lang w:val="en-US" w:eastAsia="zh-CN"/>
        </w:rPr>
      </w:pPr>
      <w:r>
        <w:rPr>
          <w:rFonts w:hint="eastAsia" w:ascii="仿宋_GB2312" w:hAnsi="宋体" w:eastAsia="仿宋_GB2312" w:cs="宋体"/>
          <w:color w:val="000000"/>
          <w:kern w:val="0"/>
          <w:sz w:val="32"/>
          <w:szCs w:val="32"/>
          <w:highlight w:val="none"/>
          <w:shd w:val="clear" w:color="auto" w:fill="auto"/>
          <w:lang w:val="en-US" w:eastAsia="zh-CN"/>
        </w:rPr>
        <w:t>深化协同发展，提升怀柔科学城品牌影响力，组织参加重要展会及设施平台推介活动5场次，强化交流合作；持续优化人才发展环境，深入研究高水平人才高地服务保障建设体系，完成研究报告1篇；聚焦打造特色宣传品牌，提高主流媒体宣传声量，累计刊播各类稿件200余篇，微信公众号累计推送文章1344条；持续深化区域化党建行动，推进区域化党建任务26项,开展学习贯彻党的二十大精神“理论微宣讲”市级示范团走进怀柔科学城中科院纳米能源与系统研究所专场、北京市“强国复兴有我”百姓宣讲市级示范团走进怀柔科学城中国机械总院集团开展专场宣讲活动。</w:t>
      </w:r>
    </w:p>
    <w:p>
      <w:pPr>
        <w:numPr>
          <w:ilvl w:val="0"/>
          <w:numId w:val="0"/>
        </w:num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val="en-US" w:eastAsia="zh-CN"/>
        </w:rPr>
      </w:pPr>
      <w:r>
        <w:rPr>
          <w:rFonts w:hint="eastAsia" w:ascii="仿宋_GB2312" w:eastAsia="仿宋_GB2312"/>
          <w:sz w:val="32"/>
          <w:szCs w:val="32"/>
        </w:rPr>
        <w:t>经分析，202</w:t>
      </w:r>
      <w:r>
        <w:rPr>
          <w:rFonts w:hint="eastAsia" w:ascii="仿宋_GB2312" w:eastAsia="仿宋_GB2312"/>
          <w:sz w:val="32"/>
          <w:szCs w:val="32"/>
          <w:lang w:val="en-US" w:eastAsia="zh-CN"/>
        </w:rPr>
        <w:t>3</w:t>
      </w:r>
      <w:r>
        <w:rPr>
          <w:rFonts w:hint="eastAsia" w:ascii="仿宋_GB2312" w:eastAsia="仿宋_GB2312"/>
          <w:sz w:val="32"/>
          <w:szCs w:val="32"/>
        </w:rPr>
        <w:t>年度预算绩效评价项目全部完成，绩效目标基本达到了年初设定的绩效指标要求，保障了各项业务工作的顺利进行。</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科学城管委会本年度积极推动举办高水平科技交流、科普展览等活动，全年举办交流活动50余场，吸引近3万人参与交流，包含外籍嘉宾1700余人，线上参与人数超过300万人次。发起成立全国生物医学成像科技创新联盟，纳米能源与纳米系统国际会议永久落户怀柔。成功举办2023中关村论坛第五届国际综合性科学中心研讨会。2023年度，累计接待435家单位、497场到访科学中心，其中，接待省部级以上领导调研14次。有效推进怀柔科学城品牌知名度，提高怀柔科学城社会影响力，完成年度宣传目标。</w:t>
      </w:r>
    </w:p>
    <w:p>
      <w:pPr>
        <w:spacing w:line="600" w:lineRule="exact"/>
        <w:ind w:left="105" w:leftChars="50" w:firstLine="480" w:firstLineChars="15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1.财务管理制度健全性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为加强财务管理，进一步完善了部门的财务管理和业务管理制度，202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年我部门紧扣市财政局部门预、决算相关规定开展工作，以财政部门要求为底线，结合部门职责、重点事项等要素，</w:t>
      </w:r>
      <w:r>
        <w:rPr>
          <w:rFonts w:hint="eastAsia" w:ascii="仿宋_GB2312" w:hAnsi="宋体" w:eastAsia="仿宋_GB2312" w:cs="宋体"/>
          <w:color w:val="000000"/>
          <w:kern w:val="0"/>
          <w:sz w:val="32"/>
          <w:szCs w:val="32"/>
          <w:highlight w:val="none"/>
          <w:lang w:eastAsia="zh-CN"/>
        </w:rPr>
        <w:t>严格执行</w:t>
      </w:r>
      <w:r>
        <w:rPr>
          <w:rFonts w:hint="eastAsia" w:ascii="仿宋_GB2312" w:hAnsi="宋体" w:eastAsia="仿宋_GB2312" w:cs="宋体"/>
          <w:color w:val="000000"/>
          <w:kern w:val="0"/>
          <w:sz w:val="32"/>
          <w:szCs w:val="32"/>
          <w:highlight w:val="none"/>
        </w:rPr>
        <w:t>《中共北京市委怀柔科学城工作委员会工作规则》《中共北京市委怀柔科学城工作委员会“三重一大”决策实施办法》，</w:t>
      </w:r>
      <w:r>
        <w:rPr>
          <w:rFonts w:hint="eastAsia" w:ascii="仿宋_GB2312" w:hAnsi="宋体" w:eastAsia="仿宋_GB2312" w:cs="宋体"/>
          <w:color w:val="000000"/>
          <w:kern w:val="0"/>
          <w:sz w:val="32"/>
          <w:szCs w:val="32"/>
          <w:highlight w:val="none"/>
          <w:lang w:eastAsia="zh-CN"/>
        </w:rPr>
        <w:t>遵守</w:t>
      </w:r>
      <w:r>
        <w:rPr>
          <w:rFonts w:hint="eastAsia" w:ascii="仿宋_GB2312" w:hAnsi="宋体" w:eastAsia="仿宋_GB2312" w:cs="宋体"/>
          <w:color w:val="000000"/>
          <w:kern w:val="0"/>
          <w:sz w:val="32"/>
          <w:szCs w:val="32"/>
          <w:highlight w:val="none"/>
        </w:rPr>
        <w:t>《北京怀柔科学城管委会工作规则》《北京怀柔科学城管委会“三重一大”决策实施办法》；</w:t>
      </w:r>
      <w:r>
        <w:rPr>
          <w:rFonts w:hint="eastAsia" w:ascii="仿宋_GB2312" w:hAnsi="宋体" w:eastAsia="仿宋_GB2312" w:cs="宋体"/>
          <w:color w:val="000000"/>
          <w:kern w:val="0"/>
          <w:sz w:val="32"/>
          <w:szCs w:val="32"/>
          <w:highlight w:val="none"/>
          <w:lang w:eastAsia="zh-CN"/>
        </w:rPr>
        <w:t>完善</w:t>
      </w:r>
      <w:r>
        <w:rPr>
          <w:rFonts w:hint="eastAsia" w:ascii="仿宋_GB2312" w:hAnsi="宋体" w:eastAsia="仿宋_GB2312" w:cs="宋体"/>
          <w:color w:val="000000"/>
          <w:kern w:val="0"/>
          <w:sz w:val="32"/>
          <w:szCs w:val="32"/>
          <w:highlight w:val="none"/>
        </w:rPr>
        <w:t>《北京怀柔科学城管理委员会内部审计工作规定》《北京怀柔科学城管理委员会内部控制工作规定》等部门内部制度规范，进一步明确了财务管理的基本要求，增加预算编制和预算决策的科学性、规范性和准确性的管理要求。</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2.资金使用合规性和安全性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我部门预算资金使用以合规、安全、高效为原则，根据市财政局预算批复，及时做好用款计划，狠抓执行进度。部门资金拨付均符合市财政局相关经费支出要求，具有完整的审批程序和相关手续文件。资金调整、调剂规范，严格实行预算调整调剂审批制度；会计核算规范，支出凭证及其他核算均符合规定，按标准支出，无虚列支出、无截留、挤占、挪用资金情况。</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3.会计基础信息完善性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我部门按照《北京市市级项目支出预算管理办法》的相关要求，项目在立项时都须填报《部门预算项目申报文本》，同时附详细的法规政策规定、政府批准文件、项目绩效目标和可行性报告等材料，作为审核项目预算的依据。预算执行中涉及调整的资金款项均严格执行市财政相关规定。财务核算规范严谨、会计报表真实准确</w:t>
      </w:r>
      <w:r>
        <w:rPr>
          <w:rFonts w:hint="eastAsia" w:ascii="仿宋_GB2312" w:hAnsi="宋体" w:eastAsia="仿宋_GB2312" w:cs="宋体"/>
          <w:color w:val="000000"/>
          <w:kern w:val="0"/>
          <w:sz w:val="32"/>
          <w:szCs w:val="32"/>
          <w:highlight w:val="none"/>
          <w:lang w:eastAsia="zh-CN"/>
        </w:rPr>
        <w:t>，同时部门按照市级要求积极采用一体化会计核算，与原有财务体系优势互补，规范记账</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spacing w:line="600" w:lineRule="exact"/>
        <w:ind w:firstLine="640" w:firstLineChars="200"/>
        <w:rPr>
          <w:rFonts w:hint="eastAsia" w:ascii="仿宋_GB2312" w:hAnsi="宋体" w:eastAsia="仿宋_GB2312" w:cs="宋体"/>
          <w:color w:val="000000"/>
          <w:kern w:val="0"/>
          <w:sz w:val="32"/>
          <w:szCs w:val="32"/>
          <w:highlight w:val="none"/>
          <w:shd w:val="clear" w:color="auto" w:fill="auto"/>
          <w:lang w:eastAsia="zh-CN"/>
        </w:rPr>
      </w:pPr>
      <w:r>
        <w:rPr>
          <w:rFonts w:hint="eastAsia" w:ascii="仿宋_GB2312" w:hAnsi="宋体" w:eastAsia="仿宋_GB2312" w:cs="宋体"/>
          <w:color w:val="000000"/>
          <w:kern w:val="0"/>
          <w:sz w:val="32"/>
          <w:szCs w:val="32"/>
          <w:highlight w:val="none"/>
          <w:shd w:val="clear" w:color="auto" w:fill="auto"/>
          <w:lang w:eastAsia="zh-CN"/>
        </w:rPr>
        <w:t>截止202</w:t>
      </w:r>
      <w:r>
        <w:rPr>
          <w:rFonts w:hint="eastAsia" w:ascii="仿宋_GB2312" w:hAnsi="宋体" w:eastAsia="仿宋_GB2312" w:cs="宋体"/>
          <w:color w:val="000000"/>
          <w:kern w:val="0"/>
          <w:sz w:val="32"/>
          <w:szCs w:val="32"/>
          <w:highlight w:val="none"/>
          <w:shd w:val="clear" w:color="auto" w:fill="auto"/>
          <w:lang w:val="en-US" w:eastAsia="zh-CN"/>
        </w:rPr>
        <w:t>3</w:t>
      </w:r>
      <w:r>
        <w:rPr>
          <w:rFonts w:hint="eastAsia" w:ascii="仿宋_GB2312" w:hAnsi="宋体" w:eastAsia="仿宋_GB2312" w:cs="宋体"/>
          <w:color w:val="000000"/>
          <w:kern w:val="0"/>
          <w:sz w:val="32"/>
          <w:szCs w:val="32"/>
          <w:highlight w:val="none"/>
          <w:shd w:val="clear" w:color="auto" w:fill="auto"/>
          <w:lang w:eastAsia="zh-CN"/>
        </w:rPr>
        <w:t>年12月31日，我部门总资产</w:t>
      </w:r>
      <w:r>
        <w:rPr>
          <w:rFonts w:hint="eastAsia" w:ascii="仿宋_GB2312" w:hAnsi="宋体" w:eastAsia="仿宋_GB2312" w:cs="宋体"/>
          <w:color w:val="000000"/>
          <w:kern w:val="0"/>
          <w:sz w:val="32"/>
          <w:szCs w:val="32"/>
          <w:highlight w:val="none"/>
          <w:shd w:val="clear" w:color="auto" w:fill="auto"/>
          <w:lang w:val="en-US" w:eastAsia="zh-CN"/>
        </w:rPr>
        <w:t>824.11</w:t>
      </w:r>
      <w:r>
        <w:rPr>
          <w:rFonts w:hint="eastAsia" w:ascii="仿宋_GB2312" w:hAnsi="宋体" w:eastAsia="仿宋_GB2312" w:cs="宋体"/>
          <w:color w:val="000000"/>
          <w:kern w:val="0"/>
          <w:sz w:val="32"/>
          <w:szCs w:val="32"/>
          <w:highlight w:val="none"/>
          <w:shd w:val="clear" w:color="auto" w:fill="auto"/>
          <w:lang w:eastAsia="zh-CN"/>
        </w:rPr>
        <w:t>万元，其中：财政应返还额度</w:t>
      </w:r>
      <w:r>
        <w:rPr>
          <w:rFonts w:hint="eastAsia" w:ascii="仿宋_GB2312" w:hAnsi="宋体" w:eastAsia="仿宋_GB2312" w:cs="宋体"/>
          <w:color w:val="000000"/>
          <w:kern w:val="0"/>
          <w:sz w:val="32"/>
          <w:szCs w:val="32"/>
          <w:highlight w:val="none"/>
          <w:shd w:val="clear" w:color="auto" w:fill="auto"/>
          <w:lang w:val="en-US" w:eastAsia="zh-CN"/>
        </w:rPr>
        <w:t>576.91</w:t>
      </w:r>
      <w:r>
        <w:rPr>
          <w:rFonts w:hint="eastAsia" w:ascii="仿宋_GB2312" w:hAnsi="宋体" w:eastAsia="仿宋_GB2312" w:cs="宋体"/>
          <w:color w:val="000000"/>
          <w:kern w:val="0"/>
          <w:sz w:val="32"/>
          <w:szCs w:val="32"/>
          <w:highlight w:val="none"/>
          <w:shd w:val="clear" w:color="auto" w:fill="auto"/>
          <w:lang w:eastAsia="zh-CN"/>
        </w:rPr>
        <w:t>万元，占总资产</w:t>
      </w:r>
      <w:r>
        <w:rPr>
          <w:rFonts w:hint="eastAsia" w:ascii="仿宋_GB2312" w:hAnsi="宋体" w:eastAsia="仿宋_GB2312" w:cs="宋体"/>
          <w:color w:val="000000"/>
          <w:kern w:val="0"/>
          <w:sz w:val="32"/>
          <w:szCs w:val="32"/>
          <w:highlight w:val="none"/>
          <w:shd w:val="clear" w:color="auto" w:fill="auto"/>
          <w:lang w:val="en-US" w:eastAsia="zh-CN"/>
        </w:rPr>
        <w:t>70.00</w:t>
      </w:r>
      <w:r>
        <w:rPr>
          <w:rFonts w:hint="eastAsia" w:ascii="仿宋_GB2312" w:hAnsi="宋体" w:eastAsia="仿宋_GB2312" w:cs="宋体"/>
          <w:color w:val="000000"/>
          <w:kern w:val="0"/>
          <w:sz w:val="32"/>
          <w:szCs w:val="32"/>
          <w:highlight w:val="none"/>
          <w:shd w:val="clear" w:color="auto" w:fill="auto"/>
          <w:lang w:eastAsia="zh-CN"/>
        </w:rPr>
        <w:t>%；固定资产净值</w:t>
      </w:r>
      <w:r>
        <w:rPr>
          <w:rFonts w:hint="eastAsia" w:ascii="仿宋_GB2312" w:hAnsi="宋体" w:eastAsia="仿宋_GB2312" w:cs="宋体"/>
          <w:color w:val="000000"/>
          <w:kern w:val="0"/>
          <w:sz w:val="32"/>
          <w:szCs w:val="32"/>
          <w:highlight w:val="none"/>
          <w:shd w:val="clear" w:color="auto" w:fill="auto"/>
          <w:lang w:val="en-US" w:eastAsia="zh-CN"/>
        </w:rPr>
        <w:t>199.88</w:t>
      </w:r>
      <w:r>
        <w:rPr>
          <w:rFonts w:hint="eastAsia" w:ascii="仿宋_GB2312" w:hAnsi="宋体" w:eastAsia="仿宋_GB2312" w:cs="宋体"/>
          <w:color w:val="000000"/>
          <w:kern w:val="0"/>
          <w:sz w:val="32"/>
          <w:szCs w:val="32"/>
          <w:highlight w:val="none"/>
          <w:shd w:val="clear" w:color="auto" w:fill="auto"/>
          <w:lang w:eastAsia="zh-CN"/>
        </w:rPr>
        <w:t>万元，占总资产</w:t>
      </w:r>
      <w:r>
        <w:rPr>
          <w:rFonts w:hint="eastAsia" w:ascii="仿宋_GB2312" w:hAnsi="宋体" w:eastAsia="仿宋_GB2312" w:cs="宋体"/>
          <w:color w:val="000000"/>
          <w:kern w:val="0"/>
          <w:sz w:val="32"/>
          <w:szCs w:val="32"/>
          <w:highlight w:val="none"/>
          <w:shd w:val="clear" w:color="auto" w:fill="auto"/>
          <w:lang w:val="en-US" w:eastAsia="zh-CN"/>
        </w:rPr>
        <w:t>24.25</w:t>
      </w:r>
      <w:r>
        <w:rPr>
          <w:rFonts w:hint="eastAsia" w:ascii="仿宋_GB2312" w:hAnsi="宋体" w:eastAsia="仿宋_GB2312" w:cs="宋体"/>
          <w:color w:val="000000"/>
          <w:kern w:val="0"/>
          <w:sz w:val="32"/>
          <w:szCs w:val="32"/>
          <w:highlight w:val="none"/>
          <w:shd w:val="clear" w:color="auto" w:fill="auto"/>
          <w:lang w:eastAsia="zh-CN"/>
        </w:rPr>
        <w:t>%；无形资产净值</w:t>
      </w:r>
      <w:r>
        <w:rPr>
          <w:rFonts w:hint="eastAsia" w:ascii="仿宋_GB2312" w:hAnsi="宋体" w:eastAsia="仿宋_GB2312" w:cs="宋体"/>
          <w:color w:val="000000"/>
          <w:kern w:val="0"/>
          <w:sz w:val="32"/>
          <w:szCs w:val="32"/>
          <w:highlight w:val="none"/>
          <w:shd w:val="clear" w:color="auto" w:fill="auto"/>
          <w:lang w:val="en-US" w:eastAsia="zh-CN"/>
        </w:rPr>
        <w:t>28.03</w:t>
      </w:r>
      <w:r>
        <w:rPr>
          <w:rFonts w:hint="eastAsia" w:ascii="仿宋_GB2312" w:hAnsi="宋体" w:eastAsia="仿宋_GB2312" w:cs="宋体"/>
          <w:color w:val="000000"/>
          <w:kern w:val="0"/>
          <w:sz w:val="32"/>
          <w:szCs w:val="32"/>
          <w:highlight w:val="none"/>
          <w:shd w:val="clear" w:color="auto" w:fill="auto"/>
          <w:lang w:eastAsia="zh-CN"/>
        </w:rPr>
        <w:t>万元，占总资产</w:t>
      </w:r>
      <w:r>
        <w:rPr>
          <w:rFonts w:hint="eastAsia" w:ascii="仿宋_GB2312" w:hAnsi="宋体" w:eastAsia="仿宋_GB2312" w:cs="宋体"/>
          <w:color w:val="000000"/>
          <w:kern w:val="0"/>
          <w:sz w:val="32"/>
          <w:szCs w:val="32"/>
          <w:highlight w:val="none"/>
          <w:shd w:val="clear" w:color="auto" w:fill="auto"/>
          <w:lang w:val="en-US" w:eastAsia="zh-CN"/>
        </w:rPr>
        <w:t>3.40</w:t>
      </w:r>
      <w:r>
        <w:rPr>
          <w:rFonts w:hint="eastAsia" w:ascii="仿宋_GB2312" w:hAnsi="宋体" w:eastAsia="仿宋_GB2312" w:cs="宋体"/>
          <w:color w:val="000000"/>
          <w:kern w:val="0"/>
          <w:sz w:val="32"/>
          <w:szCs w:val="32"/>
          <w:highlight w:val="none"/>
          <w:shd w:val="clear" w:color="auto" w:fill="auto"/>
          <w:lang w:eastAsia="zh-CN"/>
        </w:rPr>
        <w:t>%；货币资金</w:t>
      </w:r>
      <w:r>
        <w:rPr>
          <w:rFonts w:hint="eastAsia" w:ascii="仿宋_GB2312" w:hAnsi="宋体" w:eastAsia="仿宋_GB2312" w:cs="宋体"/>
          <w:color w:val="000000"/>
          <w:kern w:val="0"/>
          <w:sz w:val="32"/>
          <w:szCs w:val="32"/>
          <w:highlight w:val="none"/>
          <w:shd w:val="clear" w:color="auto" w:fill="auto"/>
          <w:lang w:val="en-US" w:eastAsia="zh-CN"/>
        </w:rPr>
        <w:t>19.29</w:t>
      </w:r>
      <w:r>
        <w:rPr>
          <w:rFonts w:hint="eastAsia" w:ascii="仿宋_GB2312" w:hAnsi="宋体" w:eastAsia="仿宋_GB2312" w:cs="宋体"/>
          <w:color w:val="000000"/>
          <w:kern w:val="0"/>
          <w:sz w:val="32"/>
          <w:szCs w:val="32"/>
          <w:highlight w:val="none"/>
          <w:shd w:val="clear" w:color="auto" w:fill="auto"/>
          <w:lang w:eastAsia="zh-CN"/>
        </w:rPr>
        <w:t>万元，占总资产</w:t>
      </w:r>
      <w:r>
        <w:rPr>
          <w:rFonts w:hint="eastAsia" w:ascii="仿宋_GB2312" w:hAnsi="宋体" w:eastAsia="仿宋_GB2312" w:cs="宋体"/>
          <w:color w:val="000000"/>
          <w:kern w:val="0"/>
          <w:sz w:val="32"/>
          <w:szCs w:val="32"/>
          <w:highlight w:val="none"/>
          <w:shd w:val="clear" w:color="auto" w:fill="auto"/>
          <w:lang w:val="en-US" w:eastAsia="zh-CN"/>
        </w:rPr>
        <w:t>2.35</w:t>
      </w:r>
      <w:r>
        <w:rPr>
          <w:rFonts w:hint="eastAsia" w:ascii="仿宋_GB2312" w:hAnsi="宋体" w:eastAsia="仿宋_GB2312" w:cs="宋体"/>
          <w:color w:val="000000"/>
          <w:kern w:val="0"/>
          <w:sz w:val="32"/>
          <w:szCs w:val="32"/>
          <w:highlight w:val="none"/>
          <w:shd w:val="clear" w:color="auto" w:fill="auto"/>
          <w:lang w:eastAsia="zh-CN"/>
        </w:rPr>
        <w:t>%。本部门暂无长期投资、在建工程、公共基础设施、政府储备物资、保障性住房等重要资产。</w:t>
      </w:r>
    </w:p>
    <w:p>
      <w:pPr>
        <w:spacing w:line="600" w:lineRule="exact"/>
        <w:ind w:left="105" w:leftChars="50" w:firstLine="480" w:firstLineChars="150"/>
        <w:rPr>
          <w:rFonts w:hint="eastAsia" w:ascii="楷体_GB2312" w:eastAsia="楷体_GB2312"/>
          <w:sz w:val="32"/>
          <w:szCs w:val="32"/>
          <w:highlight w:val="none"/>
          <w:shd w:val="clear" w:color="auto" w:fill="auto"/>
        </w:rPr>
      </w:pPr>
      <w:r>
        <w:rPr>
          <w:rFonts w:hint="eastAsia" w:ascii="仿宋_GB2312" w:hAnsi="宋体" w:eastAsia="仿宋_GB2312" w:cs="宋体"/>
          <w:color w:val="000000"/>
          <w:kern w:val="0"/>
          <w:sz w:val="32"/>
          <w:szCs w:val="32"/>
          <w:highlight w:val="none"/>
          <w:shd w:val="clear" w:color="auto" w:fill="auto"/>
          <w:lang w:eastAsia="zh-CN"/>
        </w:rPr>
        <w:t>202</w:t>
      </w:r>
      <w:r>
        <w:rPr>
          <w:rFonts w:hint="eastAsia" w:ascii="仿宋_GB2312" w:hAnsi="宋体" w:eastAsia="仿宋_GB2312" w:cs="宋体"/>
          <w:color w:val="000000"/>
          <w:kern w:val="0"/>
          <w:sz w:val="32"/>
          <w:szCs w:val="32"/>
          <w:highlight w:val="none"/>
          <w:shd w:val="clear" w:color="auto" w:fill="auto"/>
          <w:lang w:val="en-US" w:eastAsia="zh-CN"/>
        </w:rPr>
        <w:t>3</w:t>
      </w:r>
      <w:r>
        <w:rPr>
          <w:rFonts w:hint="eastAsia" w:ascii="仿宋_GB2312" w:hAnsi="宋体" w:eastAsia="仿宋_GB2312" w:cs="宋体"/>
          <w:color w:val="000000"/>
          <w:kern w:val="0"/>
          <w:sz w:val="32"/>
          <w:szCs w:val="32"/>
          <w:highlight w:val="none"/>
          <w:shd w:val="clear" w:color="auto" w:fill="auto"/>
          <w:lang w:eastAsia="zh-CN"/>
        </w:rPr>
        <w:t>年我部门按照《北京怀柔科学城管理委员会资产管理制度（试行）》制度对部门资产进行管理，严格执行使用怀柔科学城固定资产、办公用品领用申请单、资产报废审批单等内部审核单据。各处室设立专门的资产管理员，所有固定资产登记、物品领用由资产管理员统一负责。本年度办公室、财经处牵头对现有资产进行全面盘点分类，登记造册；并按市级要求完成202</w:t>
      </w:r>
      <w:r>
        <w:rPr>
          <w:rFonts w:hint="eastAsia" w:ascii="仿宋_GB2312" w:hAnsi="宋体" w:eastAsia="仿宋_GB2312" w:cs="宋体"/>
          <w:color w:val="000000"/>
          <w:kern w:val="0"/>
          <w:sz w:val="32"/>
          <w:szCs w:val="32"/>
          <w:highlight w:val="none"/>
          <w:shd w:val="clear" w:color="auto" w:fill="auto"/>
          <w:lang w:val="en-US" w:eastAsia="zh-CN"/>
        </w:rPr>
        <w:t>3</w:t>
      </w:r>
      <w:r>
        <w:rPr>
          <w:rFonts w:hint="eastAsia" w:ascii="仿宋_GB2312" w:hAnsi="宋体" w:eastAsia="仿宋_GB2312" w:cs="宋体"/>
          <w:color w:val="000000"/>
          <w:kern w:val="0"/>
          <w:sz w:val="32"/>
          <w:szCs w:val="32"/>
          <w:highlight w:val="none"/>
          <w:shd w:val="clear" w:color="auto" w:fill="auto"/>
          <w:lang w:eastAsia="zh-CN"/>
        </w:rPr>
        <w:t>年行政事业单位国有资产年报上报。后续我部门将加大资产管理力度，结合内部控制制度、手册，规范资产预算申报-资产采购-资产管理-资产处置等一系列流程，做到合理购置，有效分配，合理使用的资产管理目标。</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pStyle w:val="4"/>
        <w:ind w:firstLine="640" w:firstLineChars="200"/>
        <w:rPr>
          <w:rFonts w:hint="eastAsia"/>
        </w:rPr>
      </w:pPr>
      <w:r>
        <w:rPr>
          <w:rFonts w:hint="eastAsia"/>
          <w:lang w:eastAsia="zh-CN"/>
        </w:rPr>
        <w:t>部门</w:t>
      </w:r>
      <w:r>
        <w:rPr>
          <w:rFonts w:hint="eastAsia"/>
        </w:rPr>
        <w:t>深入贯彻市委、市政府《关于全面实施预算绩效管理的实施意见》、《北京市预算绩效管理办法》等文件要求，围绕部门职责，以预算资金管理为主线，统筹考虑资金和业务活动，从运行成本、管理效率、履职效能、社会效益、可持续发展能力和服务对象满意度等方面，衡量业务实施效果。</w:t>
      </w:r>
    </w:p>
    <w:p>
      <w:pPr>
        <w:pStyle w:val="4"/>
        <w:ind w:firstLine="640" w:firstLineChars="200"/>
        <w:rPr>
          <w:rFonts w:ascii="楷体_GB2312" w:eastAsia="楷体_GB2312"/>
          <w:sz w:val="32"/>
          <w:szCs w:val="32"/>
          <w:highlight w:val="none"/>
        </w:rPr>
      </w:pPr>
      <w:r>
        <w:rPr>
          <w:rFonts w:hint="eastAsia"/>
        </w:rPr>
        <w:t>202</w:t>
      </w:r>
      <w:r>
        <w:rPr>
          <w:rFonts w:hint="eastAsia"/>
          <w:lang w:val="en-US" w:eastAsia="zh-CN"/>
        </w:rPr>
        <w:t>3</w:t>
      </w:r>
      <w:r>
        <w:rPr>
          <w:rFonts w:hint="eastAsia"/>
        </w:rPr>
        <w:t>年，管委会评价项目</w:t>
      </w:r>
      <w:r>
        <w:rPr>
          <w:rFonts w:hint="eastAsia"/>
          <w:lang w:val="en-US" w:eastAsia="zh-CN"/>
        </w:rPr>
        <w:t>18</w:t>
      </w:r>
      <w:r>
        <w:rPr>
          <w:rFonts w:hint="eastAsia"/>
        </w:rPr>
        <w:t>个，占部门</w:t>
      </w:r>
      <w:r>
        <w:rPr>
          <w:rFonts w:hint="eastAsia"/>
          <w:lang w:eastAsia="zh-CN"/>
        </w:rPr>
        <w:t>执行</w:t>
      </w:r>
      <w:r>
        <w:rPr>
          <w:rFonts w:hint="eastAsia"/>
        </w:rPr>
        <w:t>项目总数的100%，涉及金额</w:t>
      </w:r>
      <w:r>
        <w:rPr>
          <w:rFonts w:hint="eastAsia"/>
          <w:sz w:val="32"/>
          <w:szCs w:val="32"/>
          <w:lang w:val="en-US" w:eastAsia="zh-CN"/>
        </w:rPr>
        <w:t>7,875.27万元</w:t>
      </w:r>
      <w:r>
        <w:rPr>
          <w:rFonts w:hint="eastAsia"/>
        </w:rPr>
        <w:t>。其中</w:t>
      </w:r>
      <w:r>
        <w:rPr>
          <w:rFonts w:hint="eastAsia"/>
          <w:lang w:val="en-US" w:eastAsia="zh-CN"/>
        </w:rPr>
        <w:t>17</w:t>
      </w:r>
      <w:r>
        <w:rPr>
          <w:rFonts w:hint="eastAsia"/>
        </w:rPr>
        <w:t>个项目采取简易程序填报《项目支出绩效自评表》的形式开展；北京怀柔综合性国家科学中心交叉研究平台运行经费补助</w:t>
      </w:r>
      <w:r>
        <w:rPr>
          <w:rFonts w:hint="eastAsia"/>
          <w:lang w:val="en-US" w:eastAsia="zh-CN"/>
        </w:rPr>
        <w:t>1个项目</w:t>
      </w:r>
      <w:r>
        <w:rPr>
          <w:rFonts w:hint="eastAsia"/>
        </w:rPr>
        <w:t>采取普通程序形成《项目支出绩效评价报告》</w:t>
      </w:r>
      <w:r>
        <w:rPr>
          <w:rFonts w:hint="eastAsia" w:ascii="仿宋_GB2312" w:eastAsia="仿宋_GB2312"/>
          <w:sz w:val="32"/>
          <w:szCs w:val="32"/>
        </w:rPr>
        <w:t>。</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（四）结转结余率</w:t>
      </w:r>
    </w:p>
    <w:p>
      <w:pPr>
        <w:spacing w:line="600" w:lineRule="exact"/>
        <w:ind w:left="105" w:leftChars="50" w:firstLine="480" w:firstLineChars="150"/>
        <w:rPr>
          <w:rFonts w:hint="eastAsia" w:ascii="仿宋_GB2312" w:eastAsia="仿宋_GB2312"/>
          <w:sz w:val="32"/>
          <w:szCs w:val="32"/>
          <w:lang w:val="en-US" w:eastAsia="zh-CN"/>
        </w:rPr>
      </w:pPr>
      <w:r>
        <w:rPr>
          <w:rFonts w:hint="eastAsia" w:ascii="仿宋_GB2312" w:eastAsia="仿宋_GB2312"/>
          <w:sz w:val="32"/>
          <w:szCs w:val="32"/>
          <w:lang w:val="en-US" w:eastAsia="zh-CN"/>
        </w:rPr>
        <w:t>部门2023年结转结余资金为581.91万元，其中：财政拨款结转结余576.91万元，非财政拨款结转结余5.00万元。结转结余率为0.74%。</w:t>
      </w:r>
    </w:p>
    <w:p>
      <w:pPr>
        <w:spacing w:line="600" w:lineRule="exact"/>
        <w:ind w:left="105" w:leftChars="50" w:firstLine="480" w:firstLineChars="150"/>
        <w:rPr>
          <w:rFonts w:hint="eastAsia" w:ascii="楷体_GB2312" w:eastAsia="楷体_GB2312"/>
          <w:sz w:val="32"/>
          <w:szCs w:val="32"/>
          <w:highlight w:val="none"/>
        </w:rPr>
      </w:pPr>
      <w:r>
        <w:rPr>
          <w:rFonts w:hint="eastAsia" w:ascii="仿宋_GB2312" w:eastAsia="仿宋_GB2312"/>
          <w:sz w:val="32"/>
          <w:szCs w:val="32"/>
          <w:lang w:val="en-US" w:eastAsia="zh-CN"/>
        </w:rPr>
        <w:t>财政拨款结转结余包括基本支出经费结转和结余32.49 万元，主要为公用经费结余，下年度年初上缴财政；项目支出经费结转和结余544.42万元，其中结转下年138.65万元，为年中根据项目需求追加申请资金结转，年初批复项目资金结余405.77万元，下年度按要求上缴财政。非财政拨款结转结余5.00万元，具体为2023年12月怀柔科学城收到是市委人大办公厅基层立法联系点工作经费，部门暂未支出成非财政拨款结转。</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pStyle w:val="4"/>
        <w:ind w:firstLine="640" w:firstLineChars="200"/>
        <w:rPr>
          <w:rFonts w:hint="eastAsia"/>
          <w:lang w:val="en-US" w:eastAsia="zh-CN"/>
        </w:rPr>
      </w:pPr>
      <w:r>
        <w:rPr>
          <w:rFonts w:hint="eastAsia"/>
          <w:lang w:val="en-US" w:eastAsia="zh-CN"/>
        </w:rPr>
        <w:t>我部门2023年收入决算数总计78,714.67万元，比年初预算数收入总计8,650.08万元增加70,064.59万元，差异率809.99%。收入差异主要为：</w:t>
      </w:r>
    </w:p>
    <w:p>
      <w:pPr>
        <w:pStyle w:val="4"/>
        <w:ind w:firstLine="640" w:firstLineChars="200"/>
        <w:rPr>
          <w:rFonts w:hint="eastAsia"/>
          <w:lang w:val="en-US" w:eastAsia="zh-CN"/>
        </w:rPr>
      </w:pPr>
      <w:r>
        <w:rPr>
          <w:rFonts w:hint="eastAsia"/>
          <w:lang w:val="en-US" w:eastAsia="zh-CN"/>
        </w:rPr>
        <w:t>1.核减统发人员经费21.62万元。</w:t>
      </w:r>
    </w:p>
    <w:p>
      <w:pPr>
        <w:pStyle w:val="4"/>
        <w:ind w:firstLine="640" w:firstLineChars="200"/>
        <w:rPr>
          <w:rFonts w:hint="eastAsia"/>
          <w:lang w:val="en-US" w:eastAsia="zh-CN"/>
        </w:rPr>
      </w:pPr>
      <w:r>
        <w:rPr>
          <w:rFonts w:hint="eastAsia"/>
          <w:lang w:val="en-US" w:eastAsia="zh-CN"/>
        </w:rPr>
        <w:t>2.根据区域发展需求追加专项资金70,000.00万元，</w:t>
      </w:r>
    </w:p>
    <w:p>
      <w:pPr>
        <w:pStyle w:val="4"/>
        <w:ind w:firstLine="640" w:firstLineChars="200"/>
        <w:rPr>
          <w:rFonts w:hint="eastAsia"/>
          <w:lang w:val="en-US" w:eastAsia="zh-CN"/>
        </w:rPr>
      </w:pPr>
      <w:r>
        <w:rPr>
          <w:rFonts w:hint="eastAsia"/>
          <w:lang w:val="en-US" w:eastAsia="zh-CN"/>
        </w:rPr>
        <w:t>3.根据年中实际执行情况，追加出国（境）专项经费1.2万元。</w:t>
      </w:r>
    </w:p>
    <w:p>
      <w:pPr>
        <w:pStyle w:val="4"/>
        <w:ind w:firstLine="640" w:firstLineChars="200"/>
        <w:rPr>
          <w:rFonts w:hint="eastAsia"/>
          <w:lang w:val="en-US" w:eastAsia="zh-CN"/>
        </w:rPr>
      </w:pPr>
      <w:r>
        <w:rPr>
          <w:rFonts w:hint="eastAsia"/>
          <w:lang w:val="en-US" w:eastAsia="zh-CN"/>
        </w:rPr>
        <w:t>4.其他收入中市人保局博士后管理与资助项目经费2022年结转64.00万元调增年初结转结余。</w:t>
      </w:r>
    </w:p>
    <w:p>
      <w:pPr>
        <w:pStyle w:val="4"/>
        <w:ind w:firstLine="640" w:firstLineChars="200"/>
      </w:pPr>
      <w:r>
        <w:rPr>
          <w:rFonts w:hint="eastAsia"/>
          <w:lang w:val="en-US" w:eastAsia="zh-CN"/>
        </w:rPr>
        <w:t>5.调增其他收入中市人大办公厅基层立法联系点工作经费5.00万元、市人保局博士后管理与资助项目经费16.00万元。</w:t>
      </w:r>
    </w:p>
    <w:p>
      <w:pPr>
        <w:spacing w:line="600" w:lineRule="exact"/>
        <w:ind w:left="105" w:leftChars="50" w:firstLine="480" w:firstLineChars="15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楷体_GB2312" w:eastAsia="楷体_GB2312"/>
          <w:sz w:val="32"/>
          <w:szCs w:val="32"/>
          <w:lang w:val="en-US" w:eastAsia="zh-CN"/>
        </w:rPr>
        <w:t>1.</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北京怀柔科学城管理委员会部门部门整体支出绩效评估考核结果是</w:t>
      </w:r>
      <w:r>
        <w:rPr>
          <w:rFonts w:hint="eastAsia" w:ascii="仿宋_GB2312" w:hAnsi="仿宋_GB2312" w:eastAsia="仿宋_GB2312" w:cs="仿宋_GB2312"/>
          <w:sz w:val="32"/>
          <w:szCs w:val="32"/>
          <w:shd w:val="clear" w:color="auto" w:fill="auto"/>
          <w:lang w:eastAsia="zh-CN"/>
        </w:rPr>
        <w:t>优秀</w:t>
      </w:r>
      <w:r>
        <w:rPr>
          <w:rFonts w:hint="eastAsia" w:ascii="仿宋_GB2312" w:hAnsi="仿宋_GB2312" w:eastAsia="仿宋_GB2312" w:cs="仿宋_GB2312"/>
          <w:sz w:val="32"/>
          <w:szCs w:val="32"/>
          <w:lang w:eastAsia="zh-CN"/>
        </w:rPr>
        <w:t>。</w:t>
      </w:r>
    </w:p>
    <w:p>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2.自评得分情况：</w:t>
      </w:r>
    </w:p>
    <w:p>
      <w:pPr>
        <w:spacing w:line="600" w:lineRule="exact"/>
        <w:ind w:left="105" w:leftChars="50"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根据年初的绩效考核工作计划和目标，</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lang w:eastAsia="zh-CN"/>
        </w:rPr>
        <w:t>我部门坚持以习近平新时代中国特色社会主义思想为指导，全面贯彻党的二十大和二十届二中全会精神，深入落实市委、市政府重要指示要求，在区委、区政府的坚强领导下，深化部市共建、院市合作，加强对重点任务和项目的统筹调度，持续推进北京怀柔综合性国家科学中心高质量发展,科学设施集群建设创造“怀柔速度”，战略科技力量集聚和协同创新厚积成势，高水平人才高地建设初具规模，国际开放创新生态活力凸显，“科学+城”城市功能不断完善。部门全年绩效目标高效完成自评为</w:t>
      </w:r>
      <w:r>
        <w:rPr>
          <w:rFonts w:hint="eastAsia" w:ascii="仿宋_GB2312" w:hAnsi="仿宋_GB2312" w:eastAsia="仿宋_GB2312" w:cs="仿宋_GB2312"/>
          <w:sz w:val="32"/>
          <w:szCs w:val="32"/>
          <w:shd w:val="clear" w:color="auto" w:fill="auto"/>
          <w:lang w:eastAsia="zh-CN"/>
        </w:rPr>
        <w:t>9</w:t>
      </w:r>
      <w:r>
        <w:rPr>
          <w:rFonts w:hint="eastAsia" w:ascii="仿宋_GB2312" w:hAnsi="仿宋_GB2312" w:eastAsia="仿宋_GB2312" w:cs="仿宋_GB2312"/>
          <w:sz w:val="32"/>
          <w:szCs w:val="32"/>
          <w:shd w:val="clear" w:color="auto" w:fill="auto"/>
          <w:lang w:val="en-US" w:eastAsia="zh-CN"/>
        </w:rPr>
        <w:t>0</w:t>
      </w: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0</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highlight w:val="none"/>
          <w:lang w:eastAsia="zh-CN"/>
        </w:rPr>
        <w:t>详见附件：部门整体支出绩效评价指标表</w:t>
      </w:r>
      <w:r>
        <w:rPr>
          <w:rFonts w:hint="eastAsia" w:ascii="仿宋_GB2312" w:hAnsi="仿宋_GB2312" w:eastAsia="仿宋_GB2312" w:cs="仿宋_GB2312"/>
          <w:sz w:val="32"/>
          <w:szCs w:val="32"/>
          <w:lang w:eastAsia="zh-CN"/>
        </w:rPr>
        <w:t>）</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pStyle w:val="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1.预算管理相关的业务人员对绩效工作的熟悉程度不够。绩效管理和项目管理两个维度，造成绩效目标设置与偏差较大，绩效监控针对性不强。</w:t>
      </w:r>
    </w:p>
    <w:p>
      <w:pPr>
        <w:pStyle w:val="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2.编报绩效目标时间与部门预算同步，业务处室对项目前期工作不够深入，项目定位、功能、实施内容梳理不够，造成绩效指标细化量化不够，定性指标多，定量指标少，而且指标值相对模糊</w:t>
      </w:r>
      <w:r>
        <w:rPr>
          <w:rFonts w:hint="eastAsia" w:hAnsi="仿宋_GB2312" w:cs="仿宋_GB2312"/>
          <w:sz w:val="32"/>
          <w:szCs w:val="32"/>
          <w:lang w:eastAsia="zh-CN"/>
        </w:rPr>
        <w:t>，</w:t>
      </w:r>
      <w:r>
        <w:rPr>
          <w:rFonts w:hint="eastAsia" w:ascii="仿宋_GB2312" w:hAnsi="仿宋_GB2312" w:eastAsia="仿宋_GB2312" w:cs="仿宋_GB2312"/>
          <w:sz w:val="32"/>
          <w:szCs w:val="32"/>
          <w:lang w:eastAsia="zh-CN"/>
        </w:rPr>
        <w:t>不科学。也直接影响到预算绩效评价结果的反馈与应用。</w:t>
      </w:r>
    </w:p>
    <w:p>
      <w:pPr>
        <w:pStyle w:val="4"/>
        <w:ind w:firstLine="640" w:firstLineChars="200"/>
        <w:rPr>
          <w:rFonts w:hint="eastAsia"/>
          <w:lang w:eastAsia="zh-CN"/>
        </w:rPr>
      </w:pPr>
      <w:r>
        <w:rPr>
          <w:rFonts w:hint="eastAsia" w:hAnsi="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hAnsi="仿宋_GB2312" w:cs="仿宋_GB2312"/>
          <w:sz w:val="32"/>
          <w:szCs w:val="32"/>
          <w:lang w:eastAsia="zh-CN"/>
        </w:rPr>
        <w:t>因部门处于建设成立初期，各方面财政资金需求考虑不够具体，导致年中根据实际需求追加的财政资金较大，直接影响部门预决算差异率数据指标。后期部门将提前布局下年度预算需求，将需求考虑细致全面，有效降低预决算差异。</w:t>
      </w: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（一）内部加强宣传，深化绩效管理认知</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大力宣传绩效理念和成本意识，围绕政策、制度、方法和操作流程等，开展不同层次的预算绩效管理培训，提高预算绩效管理人员和业务人员的业务素质和能力水平。</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（二）绩效管理相关工作前置化，提高绩效编制质量</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将项目定位、功能、实施内容梳理前置化，进一步提高项目成熟度。将绩效理念和方法全面融入事前、事中、事后闭环管理，提升绩效目标编制质量。</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（三）加强绩效结果应用，严格考核监督，强化责任约束</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rPr>
        <w:t>进一步完善绩效评价体系，加强绩效考核结果与管理考核制度相结合，切实做到花钱必问效，无效必问责。有效提升管理效率。</w:t>
      </w:r>
    </w:p>
    <w:p>
      <w:pPr>
        <w:pStyle w:val="2"/>
        <w:rPr>
          <w:sz w:val="32"/>
          <w:szCs w:val="32"/>
          <w:highlight w:val="none"/>
        </w:rPr>
      </w:pPr>
      <w:bookmarkStart w:id="0" w:name="_Toc103006301"/>
      <w:r>
        <w:rPr>
          <w:rFonts w:hint="eastAsia"/>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小标宋简体" w:eastAsia="方正小标宋简体"/>
          <w:sz w:val="36"/>
          <w:szCs w:val="36"/>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decorative"/>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ESI小标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BA544F"/>
    <w:multiLevelType w:val="singleLevel"/>
    <w:tmpl w:val="B6BA544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121126E"/>
    <w:rsid w:val="032F490A"/>
    <w:rsid w:val="09FF7150"/>
    <w:rsid w:val="0BCF5FCB"/>
    <w:rsid w:val="0E72B393"/>
    <w:rsid w:val="12C871D6"/>
    <w:rsid w:val="1429474B"/>
    <w:rsid w:val="175F53D8"/>
    <w:rsid w:val="17DE2219"/>
    <w:rsid w:val="18036E1A"/>
    <w:rsid w:val="1F7B68D8"/>
    <w:rsid w:val="21A52ED2"/>
    <w:rsid w:val="2202747D"/>
    <w:rsid w:val="24EF7A3E"/>
    <w:rsid w:val="25DBBB14"/>
    <w:rsid w:val="28FB59DC"/>
    <w:rsid w:val="2BABCCD0"/>
    <w:rsid w:val="2CE070DA"/>
    <w:rsid w:val="37173543"/>
    <w:rsid w:val="3A8F6B38"/>
    <w:rsid w:val="3BFD8FB2"/>
    <w:rsid w:val="3D293058"/>
    <w:rsid w:val="3FDBA076"/>
    <w:rsid w:val="3FDFB3F0"/>
    <w:rsid w:val="3FDFC9A6"/>
    <w:rsid w:val="3FED6682"/>
    <w:rsid w:val="3FF76880"/>
    <w:rsid w:val="42C325EB"/>
    <w:rsid w:val="443138C3"/>
    <w:rsid w:val="45AC6AAF"/>
    <w:rsid w:val="4A433BA2"/>
    <w:rsid w:val="4F240D62"/>
    <w:rsid w:val="50EB5081"/>
    <w:rsid w:val="512E65FA"/>
    <w:rsid w:val="579E6759"/>
    <w:rsid w:val="5997B021"/>
    <w:rsid w:val="5AFE8EB1"/>
    <w:rsid w:val="5BFD4AC2"/>
    <w:rsid w:val="5BFE5ADD"/>
    <w:rsid w:val="601F7E88"/>
    <w:rsid w:val="63554470"/>
    <w:rsid w:val="67759716"/>
    <w:rsid w:val="6B69F6EC"/>
    <w:rsid w:val="6B8438F9"/>
    <w:rsid w:val="6DB77FF4"/>
    <w:rsid w:val="6DFBD090"/>
    <w:rsid w:val="6E6FDE14"/>
    <w:rsid w:val="6EFFD049"/>
    <w:rsid w:val="6F7ED27B"/>
    <w:rsid w:val="6F9F348B"/>
    <w:rsid w:val="6FA60675"/>
    <w:rsid w:val="6FDE024B"/>
    <w:rsid w:val="70DE7F33"/>
    <w:rsid w:val="70EB7177"/>
    <w:rsid w:val="75B17A7C"/>
    <w:rsid w:val="7AB7FF50"/>
    <w:rsid w:val="7AEAF641"/>
    <w:rsid w:val="7B5D2783"/>
    <w:rsid w:val="7B5E14D3"/>
    <w:rsid w:val="7BAD2729"/>
    <w:rsid w:val="7BAF3518"/>
    <w:rsid w:val="7BC60C65"/>
    <w:rsid w:val="7BFD2C61"/>
    <w:rsid w:val="7BFEB0DB"/>
    <w:rsid w:val="7C816E32"/>
    <w:rsid w:val="7EF722A8"/>
    <w:rsid w:val="7EFF503D"/>
    <w:rsid w:val="7F55B145"/>
    <w:rsid w:val="7FF26B66"/>
    <w:rsid w:val="7FF7D498"/>
    <w:rsid w:val="7FFF4E81"/>
    <w:rsid w:val="7FFFD0D3"/>
    <w:rsid w:val="8716660E"/>
    <w:rsid w:val="99A3097C"/>
    <w:rsid w:val="9BBF9869"/>
    <w:rsid w:val="9FFF2299"/>
    <w:rsid w:val="A3AA735E"/>
    <w:rsid w:val="A75D4892"/>
    <w:rsid w:val="AFFFCE02"/>
    <w:rsid w:val="B3C926CA"/>
    <w:rsid w:val="B76F1D27"/>
    <w:rsid w:val="BBFF7859"/>
    <w:rsid w:val="BFFF49F0"/>
    <w:rsid w:val="C5FDB6DE"/>
    <w:rsid w:val="CEFD3F3D"/>
    <w:rsid w:val="D6B22E60"/>
    <w:rsid w:val="DCC3FF5B"/>
    <w:rsid w:val="E7FB2508"/>
    <w:rsid w:val="EA3F77F2"/>
    <w:rsid w:val="EB769F2E"/>
    <w:rsid w:val="EEFE5989"/>
    <w:rsid w:val="EFCF3EAE"/>
    <w:rsid w:val="F33FEFE9"/>
    <w:rsid w:val="F3EFE23E"/>
    <w:rsid w:val="F4FDEB06"/>
    <w:rsid w:val="F5B764A2"/>
    <w:rsid w:val="F77F09F4"/>
    <w:rsid w:val="F9BBF5FA"/>
    <w:rsid w:val="FBB6F95C"/>
    <w:rsid w:val="FBFF6E65"/>
    <w:rsid w:val="FCAF865E"/>
    <w:rsid w:val="FDAB54EF"/>
    <w:rsid w:val="FED325CF"/>
    <w:rsid w:val="FEEF6AA0"/>
    <w:rsid w:val="FF3BEEAF"/>
    <w:rsid w:val="FFB792B8"/>
    <w:rsid w:val="FFD7BFFC"/>
    <w:rsid w:val="FFE78A00"/>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line="560" w:lineRule="exact"/>
    </w:pPr>
    <w:rPr>
      <w:rFonts w:ascii="仿宋_GB2312" w:hAnsi="宋体" w:eastAsia="仿宋_GB2312"/>
      <w:sz w:val="32"/>
      <w:szCs w:val="32"/>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列出段落1"/>
    <w:basedOn w:val="1"/>
    <w:qFormat/>
    <w:uiPriority w:val="34"/>
    <w:pPr>
      <w:ind w:firstLine="420" w:firstLineChars="200"/>
    </w:pPr>
    <w:rPr>
      <w:rFonts w:ascii="Calibri" w:hAnsi="Calibri" w:cs="黑体"/>
      <w:szCs w:val="22"/>
    </w:rPr>
  </w:style>
  <w:style w:type="character" w:customStyle="1" w:styleId="10">
    <w:name w:val="font2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147</TotalTime>
  <ScaleCrop>false</ScaleCrop>
  <LinksUpToDate>false</LinksUpToDate>
  <CharactersWithSpaces>0</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2022-03-16T11:16:00Z</dcterms:created>
  <dc:creator>user</dc:creator>
  <cp:lastModifiedBy>user</cp:lastModifiedBy>
  <cp:lastPrinted>2024-05-15T10:15:54Z</cp:lastPrinted>
  <dcterms:modified xsi:type="dcterms:W3CDTF">2024-05-15T10:15:57Z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736E485A33CEEB0541D22866F101EC28</vt:lpwstr>
  </property>
</Properties>
</file>